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1B1B" w14:textId="77777777" w:rsidR="0079565C" w:rsidRPr="00303623" w:rsidRDefault="00000000" w:rsidP="00303623">
      <w:pPr>
        <w:pStyle w:val="Heading1"/>
        <w:jc w:val="center"/>
      </w:pPr>
      <w:r w:rsidRPr="00303623">
        <w:t>Redacted Science Research Initiative</w:t>
      </w:r>
    </w:p>
    <w:p w14:paraId="3A63C369" w14:textId="77777777" w:rsidR="0079565C" w:rsidRDefault="00000000" w:rsidP="00303623">
      <w:pPr>
        <w:pStyle w:val="Heading2"/>
        <w:jc w:val="center"/>
      </w:pPr>
      <w:r>
        <w:t>Complete Works Compilation</w:t>
      </w:r>
    </w:p>
    <w:p w14:paraId="204C5C80" w14:textId="77777777" w:rsidR="0079565C" w:rsidRDefault="00000000">
      <w:pPr>
        <w:spacing w:after="240"/>
        <w:jc w:val="center"/>
      </w:pPr>
      <w:r>
        <w:rPr>
          <w:sz w:val="28"/>
          <w:szCs w:val="28"/>
        </w:rPr>
        <w:t>Jim Craddock</w:t>
      </w:r>
    </w:p>
    <w:p w14:paraId="2C856DAC" w14:textId="77777777" w:rsidR="0079565C" w:rsidRDefault="00000000">
      <w:pPr>
        <w:spacing w:after="240"/>
        <w:jc w:val="center"/>
      </w:pPr>
      <w:r>
        <w:rPr>
          <w:i/>
          <w:iCs/>
          <w:sz w:val="24"/>
          <w:szCs w:val="24"/>
        </w:rPr>
        <w:t>#TheArchitect</w:t>
      </w:r>
    </w:p>
    <w:p w14:paraId="15CD2ACA" w14:textId="17F7C0BA" w:rsidR="0079565C" w:rsidRDefault="00303623">
      <w:pPr>
        <w:spacing w:after="720"/>
        <w:jc w:val="center"/>
      </w:pPr>
      <w:hyperlink r:id="rId7" w:history="1">
        <w:r w:rsidR="00000000" w:rsidRPr="00303623">
          <w:rPr>
            <w:rStyle w:val="Hyperlink"/>
          </w:rPr>
          <w:t>redactedscience.org</w:t>
        </w:r>
      </w:hyperlink>
      <w:r w:rsidR="00000000">
        <w:t xml:space="preserve">  |  </w:t>
      </w:r>
      <w:hyperlink r:id="rId8" w:history="1">
        <w:r w:rsidR="00000000" w:rsidRPr="00303623">
          <w:rPr>
            <w:rStyle w:val="Hyperlink"/>
          </w:rPr>
          <w:t>jimcraddock.com</w:t>
        </w:r>
      </w:hyperlink>
    </w:p>
    <w:p w14:paraId="7AEF4FE9" w14:textId="77777777" w:rsidR="0079565C" w:rsidRDefault="00000000">
      <w:pPr>
        <w:spacing w:after="360"/>
        <w:jc w:val="center"/>
      </w:pPr>
      <w:r>
        <w:t>April 2026</w:t>
      </w:r>
    </w:p>
    <w:p w14:paraId="49D99741" w14:textId="77777777" w:rsidR="0079565C" w:rsidRDefault="00000000">
      <w:pPr>
        <w:spacing w:before="480" w:after="120"/>
        <w:jc w:val="center"/>
      </w:pPr>
      <w:r>
        <w:rPr>
          <w:b/>
          <w:bCs/>
          <w:sz w:val="24"/>
          <w:szCs w:val="24"/>
        </w:rPr>
        <w:t>About This Document</w:t>
      </w:r>
    </w:p>
    <w:p w14:paraId="3B8C6AF6" w14:textId="77777777" w:rsidR="0079565C" w:rsidRDefault="00000000">
      <w:pPr>
        <w:spacing w:after="180" w:line="300" w:lineRule="auto"/>
      </w:pPr>
      <w:r>
        <w:t xml:space="preserve">This compilation indexes thirteen preprints published on </w:t>
      </w:r>
      <w:proofErr w:type="spellStart"/>
      <w:r>
        <w:t>Zenodo</w:t>
      </w:r>
      <w:proofErr w:type="spellEnd"/>
      <w:r>
        <w:t xml:space="preserve"> under the Redacted Science Research Initiative. For each paper, two sections are provided: a </w:t>
      </w:r>
      <w:r>
        <w:rPr>
          <w:i/>
          <w:iCs/>
        </w:rPr>
        <w:t>Summary for the Reader from the Architect</w:t>
      </w:r>
      <w:r>
        <w:t xml:space="preserve"> — a plain-English entry point written for non-specialists, with technical terms explained in brackets — and the paper's </w:t>
      </w:r>
      <w:r>
        <w:rPr>
          <w:i/>
          <w:iCs/>
        </w:rPr>
        <w:t>Abstract</w:t>
      </w:r>
      <w:r>
        <w:t xml:space="preserve"> as published. All papers are citable via the DOIs provided and available in full on </w:t>
      </w:r>
      <w:proofErr w:type="spellStart"/>
      <w:r>
        <w:t>Zenodo</w:t>
      </w:r>
      <w:proofErr w:type="spellEnd"/>
      <w:r>
        <w:t>.</w:t>
      </w:r>
    </w:p>
    <w:p w14:paraId="14F02ABF" w14:textId="77777777" w:rsidR="0079565C" w:rsidRDefault="00000000">
      <w:pPr>
        <w:spacing w:after="180" w:line="300" w:lineRule="auto"/>
      </w:pPr>
      <w:r>
        <w:t>Papers are ordered conceptually, not chronologically. The foundation papers (A and B) come first, followed by the umbrella framework for chronic disease, its five clinical applications (the stuck program modes), the civilizational-implications paper, the historical and investigative papers, and finally the two longitudinal case studies documenting a single subject — the author — across thirty-one years.</w:t>
      </w:r>
    </w:p>
    <w:p w14:paraId="5CA4B0E2" w14:textId="77777777" w:rsidR="0079565C" w:rsidRDefault="00000000">
      <w:r>
        <w:br w:type="page"/>
      </w:r>
    </w:p>
    <w:p w14:paraId="3522C397" w14:textId="77777777" w:rsidR="0079565C" w:rsidRPr="00303623" w:rsidRDefault="00000000" w:rsidP="00303623">
      <w:pPr>
        <w:pStyle w:val="Heading1"/>
      </w:pPr>
      <w:r w:rsidRPr="00303623">
        <w:lastRenderedPageBreak/>
        <w:t>1. Candida albicans as a Biochemical Computer</w:t>
      </w:r>
    </w:p>
    <w:p w14:paraId="11B64A81" w14:textId="77777777" w:rsidR="0079565C" w:rsidRDefault="00000000">
      <w:pPr>
        <w:spacing w:after="240"/>
      </w:pPr>
      <w:r>
        <w:rPr>
          <w:b/>
          <w:bCs/>
        </w:rPr>
        <w:t xml:space="preserve">DOI: </w:t>
      </w:r>
      <w:hyperlink r:id="rId9" w:history="1">
        <w:r>
          <w:rPr>
            <w:rStyle w:val="Hyperlink"/>
          </w:rPr>
          <w:t>10.5281/zenodo.19337525</w:t>
        </w:r>
      </w:hyperlink>
    </w:p>
    <w:p w14:paraId="1954F7C1" w14:textId="77777777" w:rsidR="0079565C" w:rsidRDefault="00000000">
      <w:pPr>
        <w:pStyle w:val="Heading2"/>
      </w:pPr>
      <w:r>
        <w:t>Summary for the Reader from the Architect</w:t>
      </w:r>
    </w:p>
    <w:p w14:paraId="6BB16620" w14:textId="77777777" w:rsidR="0079565C" w:rsidRDefault="00000000">
      <w:pPr>
        <w:spacing w:after="180" w:line="300" w:lineRule="auto"/>
      </w:pPr>
      <w:r>
        <w:t xml:space="preserve">This is the foundation. Every other paper in this series rests on one claim: Candida albicans </w:t>
      </w:r>
      <w:r>
        <w:rPr>
          <w:i/>
          <w:iCs/>
        </w:rPr>
        <w:t>[the yeast your doctor dismisses as "a normal part of your gut flora"]</w:t>
      </w:r>
      <w:r>
        <w:t xml:space="preserve"> is not a pathogen sitting around waiting to cause a problem — it is a biochemical computer, and it has been running inside you your whole life.</w:t>
      </w:r>
    </w:p>
    <w:p w14:paraId="0FA7D09D" w14:textId="77777777" w:rsidR="0079565C" w:rsidRDefault="00000000">
      <w:pPr>
        <w:spacing w:after="180" w:line="300" w:lineRule="auto"/>
      </w:pPr>
      <w:r>
        <w:t xml:space="preserve">It senses. It decides. It acts. It </w:t>
      </w:r>
      <w:proofErr w:type="gramStart"/>
      <w:r>
        <w:t>remembers</w:t>
      </w:r>
      <w:proofErr w:type="gramEnd"/>
      <w:r>
        <w:t xml:space="preserve">. </w:t>
      </w:r>
      <w:r>
        <w:rPr>
          <w:i/>
          <w:iCs/>
        </w:rPr>
        <w:t>[Yes, I said "remembers." Stay with me.]</w:t>
      </w:r>
    </w:p>
    <w:p w14:paraId="33FADB98" w14:textId="77777777" w:rsidR="0079565C" w:rsidRDefault="00000000">
      <w:pPr>
        <w:spacing w:after="180" w:line="300" w:lineRule="auto"/>
      </w:pPr>
      <w:r>
        <w:t xml:space="preserve">The paper pulls together decades of peer-reviewed fungal biology — phenotypic switching </w:t>
      </w:r>
      <w:r>
        <w:rPr>
          <w:i/>
          <w:iCs/>
        </w:rPr>
        <w:t>[shape-shifting between yeast and hyphae, which is closer to "changes body plan on command" than anything you've ever seen a microbe do]</w:t>
      </w:r>
      <w:r>
        <w:t xml:space="preserve">, parasexual reproduction </w:t>
      </w:r>
      <w:r>
        <w:rPr>
          <w:i/>
          <w:iCs/>
        </w:rPr>
        <w:t>[a third kind of reproduction that isn't sexual, isn't asexual, and wasn't supposed to exist]</w:t>
      </w:r>
      <w:r>
        <w:t xml:space="preserve">, quorum sensing </w:t>
      </w:r>
      <w:r>
        <w:rPr>
          <w:i/>
          <w:iCs/>
        </w:rPr>
        <w:t>[chemical voting — cells counting each other in real time and changing behavior based on the result]</w:t>
      </w:r>
      <w:r>
        <w:t xml:space="preserve">, cross-kingdom signaling </w:t>
      </w:r>
      <w:r>
        <w:rPr>
          <w:i/>
          <w:iCs/>
        </w:rPr>
        <w:t>[speaking chemical languages to bacteria AND to your cells, fluently, in both directions]</w:t>
      </w:r>
      <w:r>
        <w:t>, and lipid-mediated communication — and reorganizes it into a single model.</w:t>
      </w:r>
    </w:p>
    <w:p w14:paraId="39C737C7" w14:textId="77777777" w:rsidR="0079565C" w:rsidRDefault="00000000">
      <w:pPr>
        <w:spacing w:after="180" w:line="300" w:lineRule="auto"/>
      </w:pPr>
      <w:r>
        <w:t xml:space="preserve">Individually, these findings are scattered across fungal journals nobody in mainstream medicine reads. </w:t>
      </w:r>
      <w:r>
        <w:rPr>
          <w:i/>
          <w:iCs/>
        </w:rPr>
        <w:t>[Seriously. Go look. Mycology is the unloved stepchild of microbiology.]</w:t>
      </w:r>
      <w:r>
        <w:t xml:space="preserve"> Assembled, they describe an organism with sensing, processing, output, and memory — the four components of a computer. Pure biochemical and biological programming, no sentience.</w:t>
      </w:r>
    </w:p>
    <w:p w14:paraId="2AB393CD" w14:textId="77777777" w:rsidR="0079565C" w:rsidRDefault="00000000">
      <w:pPr>
        <w:spacing w:after="180" w:line="300" w:lineRule="auto"/>
      </w:pPr>
      <w:r>
        <w:t xml:space="preserve">The argument is not that any single piece is new. The argument is that nobody has put the pieces together before, and when you do, the picture that emerges </w:t>
      </w:r>
      <w:proofErr w:type="gramStart"/>
      <w:r>
        <w:t>reframes the organism</w:t>
      </w:r>
      <w:proofErr w:type="gramEnd"/>
      <w:r>
        <w:t xml:space="preserve"> entirely.</w:t>
      </w:r>
    </w:p>
    <w:p w14:paraId="4639F664" w14:textId="77777777" w:rsidR="0079565C" w:rsidRDefault="00000000">
      <w:pPr>
        <w:spacing w:after="180" w:line="300" w:lineRule="auto"/>
      </w:pPr>
      <w:r>
        <w:t xml:space="preserve">The reader does not need to accept the full co-evolutionary story in Paper B to accept Paper A. Paper A stands on published findings alone. </w:t>
      </w:r>
      <w:r>
        <w:rPr>
          <w:i/>
          <w:iCs/>
        </w:rPr>
        <w:t>[Go check the citations. I'll wait.]</w:t>
      </w:r>
    </w:p>
    <w:p w14:paraId="38AE28C7" w14:textId="77777777" w:rsidR="0079565C" w:rsidRDefault="00000000">
      <w:pPr>
        <w:pStyle w:val="Heading2"/>
      </w:pPr>
      <w:r>
        <w:t>Abstract</w:t>
      </w:r>
    </w:p>
    <w:p w14:paraId="0C5F3AF4" w14:textId="77777777" w:rsidR="0079565C" w:rsidRDefault="00000000">
      <w:pPr>
        <w:spacing w:after="180" w:line="300" w:lineRule="auto"/>
      </w:pPr>
      <w:r>
        <w:t xml:space="preserve">Candida albicans functions as a distributed biochemical computer, processing host and environmental signals through multiple parallel channels to modulate immunity, metabolism, tissue remodeling, and endocannabinoid tone. This paper details its distinctive genetic hardware (~1,300 orphan genes with no orthologs in other yeasts), ancient CUG codon reassignment (~171 ± 27 Ma), divergence from C. </w:t>
      </w:r>
      <w:proofErr w:type="spellStart"/>
      <w:r>
        <w:t>dubliniensis</w:t>
      </w:r>
      <w:proofErr w:type="spellEnd"/>
      <w:r>
        <w:t xml:space="preserve"> with asymmetric gene-family expansion (~20 Ma), parasexual cycle for rapid diversity generation, and layered signaling architecture (extracellular vesicles with morphology-dependent cargo, </w:t>
      </w:r>
      <w:proofErr w:type="spellStart"/>
      <w:r>
        <w:t>candidalysin</w:t>
      </w:r>
      <w:proofErr w:type="spellEnd"/>
      <w:r>
        <w:t xml:space="preserve"> and Ece1 peptide panel, secreted aspartyl proteases, cholinergic receptor interface, authentic prostaglandin E2 production from host arachidonic acid, cross-kingdom RNA potential, tryptophan-kynurenine pathway modulation, mast cell activation via cell wall pattern recognition, and a dopaminergic signaling intersection through the Gpr1 receptor).</w:t>
      </w:r>
    </w:p>
    <w:p w14:paraId="3C656241" w14:textId="77777777" w:rsidR="0079565C" w:rsidRDefault="00000000">
      <w:pPr>
        <w:spacing w:after="180" w:line="300" w:lineRule="auto"/>
      </w:pPr>
      <w:r>
        <w:lastRenderedPageBreak/>
        <w:t>The interstitium, a body-wide network of fluid-filled collagen-lined compartments (</w:t>
      </w:r>
      <w:proofErr w:type="spellStart"/>
      <w:r>
        <w:t>Benias</w:t>
      </w:r>
      <w:proofErr w:type="spellEnd"/>
      <w:r>
        <w:t xml:space="preserve"> et al., 2018), is identified as the physical distribution layer connecting peripheral colonies to host nutrient interfaces and enabling inter-niche signal propagation without bloodstream exposure. Multi-timescale epigenetic memory, from white-opaque phenotypic locking to chromatin-level bet-hedging and mitochondrial genome methylation, </w:t>
      </w:r>
      <w:proofErr w:type="gramStart"/>
      <w:r>
        <w:t>enables</w:t>
      </w:r>
      <w:proofErr w:type="gramEnd"/>
      <w:r>
        <w:t xml:space="preserve"> state maintenance without genomic change.</w:t>
      </w:r>
    </w:p>
    <w:p w14:paraId="1877399F" w14:textId="77777777" w:rsidR="0079565C" w:rsidRDefault="00000000">
      <w:pPr>
        <w:spacing w:after="180" w:line="300" w:lineRule="auto"/>
      </w:pPr>
      <w:r>
        <w:t>The pituitary microadenoma, conventionally classified as a benign incidental neoplasm with a prevalence of 14–22% in autopsy and radiological studies, is reinterpreted here as a tissue stress response to sustained organism-driven governance load on the anterior pituitary, supported by documented hyphal access to the gland, confirmed molecular machinery for local hormone transport, sequestration, and enzymatic modification, an epidemiological profile consistent with variable organism demand rather than spontaneous neoplasia, and a longitudinal case study documenting microgranuloma formation, hyphal migration to the pituitary region, and subsequent structural failure under escalating load across four transition phases (Craddock, 2026c).</w:t>
      </w:r>
    </w:p>
    <w:p w14:paraId="30EA52B8" w14:textId="77777777" w:rsidR="0079565C" w:rsidRDefault="00000000">
      <w:pPr>
        <w:spacing w:after="180" w:line="300" w:lineRule="auto"/>
      </w:pPr>
      <w:r>
        <w:t xml:space="preserve">No other organism is known to combine this full toolkit. Twelve testable predictions, grouped by architectural </w:t>
      </w:r>
      <w:proofErr w:type="gramStart"/>
      <w:r>
        <w:t>layer</w:t>
      </w:r>
      <w:proofErr w:type="gramEnd"/>
      <w:r>
        <w:t>, are offered to evaluate the model, including volatile organic compound output profiling and host-mediated subroutine termination via glucose override. The conventional "opportunistic pathogen" classification is re-examined; the organism appears tuned for regulated, long-term persistence rather than unchecked exploitation. This technical grounding is straightforward and stands on its own.</w:t>
      </w:r>
    </w:p>
    <w:p w14:paraId="28741B09" w14:textId="77777777" w:rsidR="0079565C" w:rsidRDefault="0079565C">
      <w:pPr>
        <w:pBdr>
          <w:bottom w:val="single" w:sz="6" w:space="1" w:color="999999"/>
        </w:pBdr>
        <w:spacing w:before="240" w:after="240"/>
      </w:pPr>
    </w:p>
    <w:p w14:paraId="093DF8F9" w14:textId="77777777" w:rsidR="0079565C" w:rsidRDefault="00000000">
      <w:pPr>
        <w:pStyle w:val="Heading1"/>
      </w:pPr>
      <w:r>
        <w:t>2. The Saline Oscillation Hypothesis</w:t>
      </w:r>
    </w:p>
    <w:p w14:paraId="29850DA0" w14:textId="77777777" w:rsidR="0079565C" w:rsidRDefault="00000000">
      <w:pPr>
        <w:spacing w:after="240"/>
      </w:pPr>
      <w:r>
        <w:rPr>
          <w:b/>
          <w:bCs/>
        </w:rPr>
        <w:t xml:space="preserve">DOI: </w:t>
      </w:r>
      <w:hyperlink r:id="rId10" w:history="1">
        <w:r>
          <w:rPr>
            <w:rStyle w:val="Hyperlink"/>
          </w:rPr>
          <w:t>10.5281/zenodo.19369715</w:t>
        </w:r>
      </w:hyperlink>
    </w:p>
    <w:p w14:paraId="70686A32" w14:textId="77777777" w:rsidR="0079565C" w:rsidRDefault="00000000">
      <w:pPr>
        <w:pStyle w:val="Heading2"/>
      </w:pPr>
      <w:r>
        <w:t>Summary for the Reader from the Architect</w:t>
      </w:r>
    </w:p>
    <w:p w14:paraId="70BEED68" w14:textId="77777777" w:rsidR="0079565C" w:rsidRDefault="00000000">
      <w:pPr>
        <w:spacing w:after="180" w:line="300" w:lineRule="auto"/>
      </w:pPr>
      <w:r>
        <w:t xml:space="preserve">If Paper A is the machine, Paper B is the </w:t>
      </w:r>
      <w:proofErr w:type="gramStart"/>
      <w:r>
        <w:t>origin</w:t>
      </w:r>
      <w:proofErr w:type="gramEnd"/>
      <w:r>
        <w:t xml:space="preserve"> story — and, more importantly, it is the </w:t>
      </w:r>
      <w:r>
        <w:rPr>
          <w:i/>
          <w:iCs/>
        </w:rPr>
        <w:t>mechanism</w:t>
      </w:r>
      <w:r>
        <w:t xml:space="preserve"> story. How did a fungus end up this deeply wired into human physiology?</w:t>
      </w:r>
    </w:p>
    <w:p w14:paraId="67A6A8B0" w14:textId="77777777" w:rsidR="0079565C" w:rsidRDefault="00000000">
      <w:pPr>
        <w:spacing w:after="180" w:line="300" w:lineRule="auto"/>
      </w:pPr>
      <w:r>
        <w:t xml:space="preserve">The answer points to the East African Rift Valley, starting around 2.7 million years ago when the climate got weird and stayed weird </w:t>
      </w:r>
      <w:r>
        <w:rPr>
          <w:i/>
          <w:iCs/>
        </w:rPr>
        <w:t>[three concentrated windows of extreme oscillation, at 2.7–2.5 Ma, 1.9–1.7 Ma, and 1.1–0.9 Ma — roughly 129 precession cycles total]</w:t>
      </w:r>
      <w:r>
        <w:t xml:space="preserve">. During these windows, cyclical lake salinity swings subjected early hominids to alternating electrolyte overload and depletion across thousands of generations. </w:t>
      </w:r>
      <w:r>
        <w:rPr>
          <w:i/>
          <w:iCs/>
        </w:rPr>
        <w:t>[Think: your only water source for thousands of generations, slowly turning saltier over thousands of years, then suddenly becoming fresh due to a shorter-term cycle of the earth and the sun — many, many times.]</w:t>
      </w:r>
    </w:p>
    <w:p w14:paraId="7FA25627" w14:textId="77777777" w:rsidR="0079565C" w:rsidRDefault="00000000">
      <w:pPr>
        <w:spacing w:after="180" w:line="300" w:lineRule="auto"/>
      </w:pPr>
      <w:r>
        <w:rPr>
          <w:i/>
          <w:iCs/>
        </w:rPr>
        <w:lastRenderedPageBreak/>
        <w:t>[For scale: it's been about 40 generations since Christianity was founded. Homo candidus evolved over ~90,000 generations. Or more. Let that sit.]</w:t>
      </w:r>
    </w:p>
    <w:p w14:paraId="11D01DCB" w14:textId="77777777" w:rsidR="0079565C" w:rsidRDefault="00000000">
      <w:pPr>
        <w:spacing w:after="180" w:line="300" w:lineRule="auto"/>
      </w:pPr>
      <w:r>
        <w:t xml:space="preserve">A fungal symbiont capable of managing host perfusion, electrolytes, and the endocannabinoid system </w:t>
      </w:r>
      <w:r>
        <w:rPr>
          <w:i/>
          <w:iCs/>
        </w:rPr>
        <w:t>[your body's master regulatory network — the one cannabis works on, yes, but also controls mood, appetite, inflammation, pain, memory, and about forty other things]</w:t>
      </w:r>
      <w:r>
        <w:t xml:space="preserve"> gained decisive selective advantage. </w:t>
      </w:r>
      <w:r>
        <w:rPr>
          <w:i/>
          <w:iCs/>
        </w:rPr>
        <w:t>[Why? Because having one sure might be handy in that situation, right? That's the definition of selective advantage.]</w:t>
      </w:r>
      <w:r>
        <w:t xml:space="preserve"> The same volume dysregulation I live with today is what drove the deal our ancestors cut with this organism. </w:t>
      </w:r>
      <w:r>
        <w:rPr>
          <w:i/>
          <w:iCs/>
        </w:rPr>
        <w:t>[That's not a coincidence. That's my body running the ancestral program in a world that no longer supports it.]</w:t>
      </w:r>
    </w:p>
    <w:p w14:paraId="78139F87" w14:textId="77777777" w:rsidR="0079565C" w:rsidRDefault="00000000">
      <w:pPr>
        <w:spacing w:after="180" w:line="300" w:lineRule="auto"/>
      </w:pPr>
      <w:r>
        <w:t xml:space="preserve">The paper ties this to a specific, </w:t>
      </w:r>
      <w:proofErr w:type="gramStart"/>
      <w:r>
        <w:t>recently-identified</w:t>
      </w:r>
      <w:proofErr w:type="gramEnd"/>
      <w:r>
        <w:t xml:space="preserve"> population. Rogers et al. (2026) published genetic evidence for a previously uncharacterized African population — designated "Z" — that diverged from the main human lineage at ~1.3 Ma and later contributed 19.6% of early modern human ancestry. They could not explain what isolated Z from the rest of humanity for roughly a million years without any mountain range or ocean in the way. </w:t>
      </w:r>
      <w:r>
        <w:rPr>
          <w:i/>
          <w:iCs/>
        </w:rPr>
        <w:t xml:space="preserve">[Paper B proposes culture as the barrier. One population had social structure and elder-taught discipline — prescribed behaviors, dietary rules, </w:t>
      </w:r>
      <w:proofErr w:type="gramStart"/>
      <w:r>
        <w:rPr>
          <w:i/>
          <w:iCs/>
        </w:rPr>
        <w:t>ritual —</w:t>
      </w:r>
      <w:proofErr w:type="gramEnd"/>
      <w:r>
        <w:rPr>
          <w:i/>
          <w:iCs/>
        </w:rPr>
        <w:t xml:space="preserve"> because the program required it to survive the oscillations. The other didn't have it and didn't need it. That cultural wall </w:t>
      </w:r>
      <w:proofErr w:type="gramStart"/>
      <w:r>
        <w:rPr>
          <w:i/>
          <w:iCs/>
        </w:rPr>
        <w:t>held</w:t>
      </w:r>
      <w:proofErr w:type="gramEnd"/>
      <w:r>
        <w:rPr>
          <w:i/>
          <w:iCs/>
        </w:rPr>
        <w:t xml:space="preserve"> for about a million years. When interbreeding eventually began, the offspring were smarter than the original outer group — but they didn't need the elders to survive, so they didn't follow them. Homo candidus could not exist without its elders and its teaching. That's how the line ended. Not by geography. By dilution.]</w:t>
      </w:r>
      <w:r>
        <w:t xml:space="preserve"> Z is the oscillation-exposed lineage. Z is </w:t>
      </w:r>
      <w:r>
        <w:rPr>
          <w:i/>
          <w:iCs/>
        </w:rPr>
        <w:t>Homo candidus</w:t>
      </w:r>
      <w:r>
        <w:t>.</w:t>
      </w:r>
    </w:p>
    <w:p w14:paraId="23DBF362" w14:textId="77777777" w:rsidR="0079565C" w:rsidRDefault="00000000">
      <w:pPr>
        <w:spacing w:after="180" w:line="300" w:lineRule="auto"/>
      </w:pPr>
      <w:r>
        <w:t xml:space="preserve">The flywheel also resolves </w:t>
      </w:r>
      <w:proofErr w:type="gramStart"/>
      <w:r>
        <w:t>a puzzle standard African population genetics</w:t>
      </w:r>
      <w:proofErr w:type="gramEnd"/>
      <w:r>
        <w:t xml:space="preserve"> has never cleanly explained: the pigmentation gradient </w:t>
      </w:r>
      <w:r>
        <w:rPr>
          <w:i/>
          <w:iCs/>
        </w:rPr>
        <w:t>within</w:t>
      </w:r>
      <w:r>
        <w:t xml:space="preserve"> Africa. The textbook model says dark skin evolved for UV protection. </w:t>
      </w:r>
      <w:r>
        <w:rPr>
          <w:i/>
          <w:iCs/>
        </w:rPr>
        <w:t>[Fine — melanin shields folate from UV-induced degradation, and folate matters for neural tube development. The model works for broad latitudinal clines. It doesn't work for the details.]</w:t>
      </w:r>
      <w:r>
        <w:t xml:space="preserve"> It fails to account for why the Nilotic populations of the Upper Nile Valley </w:t>
      </w:r>
      <w:r>
        <w:rPr>
          <w:i/>
          <w:iCs/>
        </w:rPr>
        <w:t>[Dinka, Nuer, Mursi — consistently the most deeply pigmented populations ever measured by reflectance spectrometry]</w:t>
      </w:r>
      <w:r>
        <w:t xml:space="preserve"> are so much darker than the San of southern Africa, despite similar UV exposure at similar latitudes. Standard theory </w:t>
      </w:r>
      <w:proofErr w:type="gramStart"/>
      <w:r>
        <w:t>has to</w:t>
      </w:r>
      <w:proofErr w:type="gramEnd"/>
      <w:r>
        <w:t xml:space="preserve"> invoke migration timing or dietary folate compensation or some other ad-hoc add-on to close the gap.</w:t>
      </w:r>
    </w:p>
    <w:p w14:paraId="4814BB76" w14:textId="77777777" w:rsidR="0079565C" w:rsidRDefault="00000000">
      <w:pPr>
        <w:spacing w:after="180" w:line="300" w:lineRule="auto"/>
      </w:pPr>
      <w:r>
        <w:t>The Saline Oscillation framework closes it cleanly. Darker pigmentation emerges, in part, as a byproduct of running the program — via two independent channels. *</w:t>
      </w:r>
      <w:r>
        <w:rPr>
          <w:i/>
          <w:iCs/>
        </w:rPr>
        <w:t>Systemically</w:t>
      </w:r>
      <w:r>
        <w:t xml:space="preserve">*, the symbiont's sustained management of pituitary output drives elevated POMC cleavage, which means elevated α-MSH </w:t>
      </w:r>
      <w:r>
        <w:rPr>
          <w:i/>
          <w:iCs/>
        </w:rPr>
        <w:t>[alpha-melanocyte-stimulating hormone — the primary hormonal trigger for melanin production, on the same polypeptide precursor as ACTH and β-endorphin]</w:t>
      </w:r>
      <w:r>
        <w:t>, which means sustained melanogenic pressure across millions of years of oscillation cycles. *</w:t>
      </w:r>
      <w:r>
        <w:rPr>
          <w:i/>
          <w:iCs/>
        </w:rPr>
        <w:t>Locally</w:t>
      </w:r>
      <w:r>
        <w:t xml:space="preserve">*, basal epidermal Candida colonization triggers melanocytes directly — TLR4 recognition of the organism plus PGE2 produced by Candida from host arachidonic acid both stimulate melanin synthesis from inside the skin tissue itself. </w:t>
      </w:r>
      <w:r>
        <w:rPr>
          <w:i/>
          <w:iCs/>
        </w:rPr>
        <w:t xml:space="preserve">[Melanin does end up </w:t>
      </w:r>
      <w:r>
        <w:rPr>
          <w:i/>
          <w:iCs/>
        </w:rPr>
        <w:lastRenderedPageBreak/>
        <w:t xml:space="preserve">protecting the host from UV damage — the organism is invested in the host's long-term viability — but the mechanism isn't "designed protection." It's a statistical bias that emerges when you run the existing subroutines, in these conditions, for millions of years. </w:t>
      </w:r>
      <w:proofErr w:type="gramStart"/>
      <w:r>
        <w:rPr>
          <w:i/>
          <w:iCs/>
        </w:rPr>
        <w:t>The protection</w:t>
      </w:r>
      <w:proofErr w:type="gramEnd"/>
      <w:r>
        <w:rPr>
          <w:i/>
          <w:iCs/>
        </w:rPr>
        <w:t xml:space="preserve"> is real. The protection is incidental.]</w:t>
      </w:r>
    </w:p>
    <w:p w14:paraId="5E6874EF" w14:textId="77777777" w:rsidR="0079565C" w:rsidRDefault="00000000">
      <w:pPr>
        <w:spacing w:after="180" w:line="300" w:lineRule="auto"/>
      </w:pPr>
      <w:r>
        <w:t>The geographic distribution maps onto this directly. The Upper Nile Valley lies downstream of the East African Rift lake systems where the oscillation operated. Coastal West Africa is the hotspot of inherited Homo candidus admixture from Population Z. Those are the two darkest regions on the continent. The San, geographically and genetically distant from both, are notably lighter at the same latitude — not because they needed less UV protection, but because they were running less of the program.</w:t>
      </w:r>
    </w:p>
    <w:p w14:paraId="685AD135" w14:textId="77777777" w:rsidR="0079565C" w:rsidRDefault="00000000">
      <w:pPr>
        <w:spacing w:after="180" w:line="300" w:lineRule="auto"/>
      </w:pPr>
      <w:r>
        <w:t xml:space="preserve">A testable prediction falls out of this: skin-site mycobiome profiling combined with reflectance spectrometry should find a residual positive correlation between local Candida density and melanin index, even after controlling for UV exposure history, latitude, and the known pigmentation variants like SLC24A5 and MFSD12. </w:t>
      </w:r>
      <w:r>
        <w:rPr>
          <w:i/>
          <w:iCs/>
        </w:rPr>
        <w:t>[Translation: hold everything the standard model accounts for constant, and there should still be a Candida signal. If the correlation is there, the standard model is incomplete. If it isn't, the framework has a problem.]</w:t>
      </w:r>
    </w:p>
    <w:p w14:paraId="7F18DD07" w14:textId="77777777" w:rsidR="0079565C" w:rsidRDefault="00000000">
      <w:pPr>
        <w:spacing w:after="180" w:line="300" w:lineRule="auto"/>
      </w:pPr>
      <w:r>
        <w:t xml:space="preserve">The paper inventories the signaling channels through which the organism governs the host: the endocannabinoid system as the trunk, and a canopy extending across the GPCR superfamily </w:t>
      </w:r>
      <w:r>
        <w:rPr>
          <w:i/>
          <w:iCs/>
        </w:rPr>
        <w:t>[the largest family of cellular receptors in the human body — about 800 of them, and drugs targeting them account for a third of all pharmaceuticals]</w:t>
      </w:r>
      <w:r>
        <w:t xml:space="preserve">, the incretin system </w:t>
      </w:r>
      <w:r>
        <w:rPr>
          <w:i/>
          <w:iCs/>
        </w:rPr>
        <w:t>[the gut hormones that control insulin and appetite — the GLP-1 target, which the news claimed 1 in 8 US adults were "on" (they lied; the 1-in-8 number was people who had ever tried one)]</w:t>
      </w:r>
      <w:r>
        <w:t xml:space="preserve">, voltage-gated calcium channels, GABA-A receptors </w:t>
      </w:r>
      <w:r>
        <w:rPr>
          <w:i/>
          <w:iCs/>
        </w:rPr>
        <w:t>[the anxiety and sleep receptor — benzodiazepines work here]</w:t>
      </w:r>
      <w:r>
        <w:t>, cholinergic receptors, and both arms of immunity.</w:t>
      </w:r>
    </w:p>
    <w:p w14:paraId="77E462A1" w14:textId="77777777" w:rsidR="0079565C" w:rsidRDefault="00000000">
      <w:pPr>
        <w:spacing w:after="180" w:line="300" w:lineRule="auto"/>
      </w:pPr>
      <w:r>
        <w:t xml:space="preserve">It </w:t>
      </w:r>
      <w:proofErr w:type="gramStart"/>
      <w:r>
        <w:t>reinterprets farnesol —</w:t>
      </w:r>
      <w:proofErr w:type="gramEnd"/>
      <w:r>
        <w:t xml:space="preserve"> the first quorum-sensing molecule ever identified in a eukaryote </w:t>
      </w:r>
      <w:r>
        <w:rPr>
          <w:i/>
          <w:iCs/>
        </w:rPr>
        <w:t xml:space="preserve">[big deal, evolutionary </w:t>
      </w:r>
      <w:proofErr w:type="gramStart"/>
      <w:r>
        <w:rPr>
          <w:i/>
          <w:iCs/>
        </w:rPr>
        <w:t>milestone]</w:t>
      </w:r>
      <w:r>
        <w:t xml:space="preserve"> —</w:t>
      </w:r>
      <w:proofErr w:type="gramEnd"/>
      <w:r>
        <w:t xml:space="preserve"> not as self-signaling but as an effector molecule aimed at the host. </w:t>
      </w:r>
      <w:r>
        <w:rPr>
          <w:i/>
          <w:iCs/>
        </w:rPr>
        <w:t xml:space="preserve">[Twenty-five years of looking and nobody has ever found a farnesol receptor in Candida itself. That is a </w:t>
      </w:r>
      <w:proofErr w:type="gramStart"/>
      <w:r>
        <w:rPr>
          <w:i/>
          <w:iCs/>
        </w:rPr>
        <w:t>clue</w:t>
      </w:r>
      <w:proofErr w:type="gramEnd"/>
      <w:r>
        <w:rPr>
          <w:i/>
          <w:iCs/>
        </w:rPr>
        <w:t xml:space="preserve"> the size of a billboard, not a footnote.]</w:t>
      </w:r>
    </w:p>
    <w:p w14:paraId="0FA8BBE5" w14:textId="77777777" w:rsidR="0079565C" w:rsidRDefault="00000000">
      <w:pPr>
        <w:spacing w:after="180" w:line="300" w:lineRule="auto"/>
      </w:pPr>
      <w:r>
        <w:t xml:space="preserve">The paper then applies the whole framework to cannabinoid hyperemesis syndrome </w:t>
      </w:r>
      <w:r>
        <w:rPr>
          <w:i/>
          <w:iCs/>
        </w:rPr>
        <w:t>[CHS — the mysterious condition where heavy cannabis users start cycling through violent vomiting fits that only stop in a hot shower, and modern medicine has no idea why]</w:t>
      </w:r>
      <w:r>
        <w:t xml:space="preserve">, a condition with no consensus mechanism, and resolves the three gaps the pharmacological model cannot — including a zero-cost intervention anyone can try tonight. </w:t>
      </w:r>
      <w:r>
        <w:rPr>
          <w:i/>
          <w:iCs/>
        </w:rPr>
        <w:t>[Eat something before the episode starts. That's it. Details in the paper.]</w:t>
      </w:r>
    </w:p>
    <w:p w14:paraId="573CE7FA" w14:textId="77777777" w:rsidR="0079565C" w:rsidRDefault="00000000">
      <w:pPr>
        <w:spacing w:after="180" w:line="300" w:lineRule="auto"/>
      </w:pPr>
      <w:r>
        <w:t xml:space="preserve">It designates the symbiont-active hominid phenotype </w:t>
      </w:r>
      <w:r>
        <w:rPr>
          <w:i/>
          <w:iCs/>
        </w:rPr>
        <w:t>Homo candidus</w:t>
      </w:r>
      <w:r>
        <w:t xml:space="preserve"> and proposes that a later genetic shift in cardiac architecture from suction-dominant to pump-dominant circulation </w:t>
      </w:r>
      <w:r>
        <w:rPr>
          <w:i/>
          <w:iCs/>
        </w:rPr>
        <w:t xml:space="preserve">[your heart used to pull blood through the chest cavity, now it pushes blood outward against gravity — the comparative </w:t>
      </w:r>
      <w:r>
        <w:rPr>
          <w:i/>
          <w:iCs/>
        </w:rPr>
        <w:lastRenderedPageBreak/>
        <w:t>anatomy literature documents the shift; the Saline Oscillation framework is the first to tie it to the loss of the symbiont program]</w:t>
      </w:r>
      <w:r>
        <w:t xml:space="preserve"> is what broke the co-evolutionary trinity and produced modern chronic disease.</w:t>
      </w:r>
    </w:p>
    <w:p w14:paraId="569C4CF7" w14:textId="77777777" w:rsidR="0079565C" w:rsidRDefault="00000000">
      <w:pPr>
        <w:spacing w:after="180" w:line="300" w:lineRule="auto"/>
      </w:pPr>
      <w:r>
        <w:t xml:space="preserve">Sixteen falsifiable predictions are presented. </w:t>
      </w:r>
      <w:r>
        <w:rPr>
          <w:i/>
          <w:iCs/>
        </w:rPr>
        <w:t xml:space="preserve">[If even one holds up under experimental test, the textbooks </w:t>
      </w:r>
      <w:proofErr w:type="gramStart"/>
      <w:r>
        <w:rPr>
          <w:i/>
          <w:iCs/>
        </w:rPr>
        <w:t>have to</w:t>
      </w:r>
      <w:proofErr w:type="gramEnd"/>
      <w:r>
        <w:rPr>
          <w:i/>
          <w:iCs/>
        </w:rPr>
        <w:t xml:space="preserve"> be rewritten. If all sixteen hold, it is a different civilization.]</w:t>
      </w:r>
    </w:p>
    <w:p w14:paraId="45419631" w14:textId="77777777" w:rsidR="0079565C" w:rsidRDefault="00000000">
      <w:pPr>
        <w:pStyle w:val="Heading2"/>
      </w:pPr>
      <w:r>
        <w:t>Abstract</w:t>
      </w:r>
    </w:p>
    <w:p w14:paraId="002BB650" w14:textId="77777777" w:rsidR="0079565C" w:rsidRDefault="00000000">
      <w:pPr>
        <w:spacing w:after="180" w:line="300" w:lineRule="auto"/>
      </w:pPr>
      <w:r>
        <w:t xml:space="preserve">This paper extends the Mammalia candidus pan-mammalian co-evolution hypothesis (Craddock, 2026b) by proposing a specific environmental mechanism: cyclical lake salinity variation in the East African Rift Valley during the </w:t>
      </w:r>
      <w:proofErr w:type="spellStart"/>
      <w:r>
        <w:t>Plio</w:t>
      </w:r>
      <w:proofErr w:type="spellEnd"/>
      <w:r>
        <w:t xml:space="preserve">-Pleistocene as the driver that activated and deepened the symbiosis between Candida species and hominid hosts. Drawing on </w:t>
      </w:r>
      <w:proofErr w:type="spellStart"/>
      <w:r>
        <w:t>paleoclimatological</w:t>
      </w:r>
      <w:proofErr w:type="spellEnd"/>
      <w:r>
        <w:t xml:space="preserve">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27FDCCBE" w14:textId="77777777" w:rsidR="0079565C" w:rsidRDefault="00000000">
      <w:pPr>
        <w:spacing w:after="180" w:line="300" w:lineRule="auto"/>
      </w:pPr>
      <w:r>
        <w:t>The symbiont's capacity to fill this role is not limited to the ECS. We present a synthesis of peer-reviewed evidence demonstrating that Candida albicans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C. albicans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twenty-five-year absence of any identified farnesol receptor in C. albicans itself.</w:t>
      </w:r>
    </w:p>
    <w:p w14:paraId="4EA458E9" w14:textId="77777777" w:rsidR="0079565C" w:rsidRDefault="00000000">
      <w:pPr>
        <w:spacing w:after="180" w:line="300" w:lineRule="auto"/>
      </w:pPr>
      <w:r>
        <w:t>The organism possesses confirmed receptors or binding proteins for at least six classes of host hormone, including estrogen, luteinizing hormone, corticosteroids, and androgens, while governing additional endocrine axes through upstream management of pituitary perfusion and ECS-mediated signaling — a two-tier architecture in which the organism senses hormones that provide inbound information and modulates hormones it controls through the producing gland.</w:t>
      </w:r>
    </w:p>
    <w:p w14:paraId="11F3BA3D" w14:textId="77777777" w:rsidR="0079565C" w:rsidRDefault="00000000">
      <w:pPr>
        <w:spacing w:after="180" w:line="300" w:lineRule="auto"/>
      </w:pPr>
      <w:r>
        <w:lastRenderedPageBreak/>
        <w:t>The framework is applied to cannabinoid hyperemesis syndrome (CHS), a condition of rising prevalence that lacks a consensus mechanism in the standard pharmacological model. The organism-mediated model resolves three longstanding gaps — tissue-specific differential downregulation of CB1 receptors (brain vs. gut), TRPV1 dysregulation, and the compulsive hot-shower phenomenon — while unifying the immune activation profile and absence of ECS transcript changes reported in a 2025 whole-blood RNA-seq study (Meltzer et al., 2025; GSE303922). It positions CHS as an interface-disruption state in which high-potency THC overloads the symbiont's primary signaling channels, triggering a positive-feedback loop driven by Hgt4 glucose sensing and arachidonic-acid competition. The model generates eight falsifiable CHS predictions, including an immediate zero-cost intervention: prodromal caloric loading to maintain blood glucose above the organism's calibrated ~5 mM threshold. A practical dietary test is also proposed — gradual incorporation of documented anti-Candida foods (virgin coconut oil, Ceylon cinnamon, crushed garlic, oregano oil, and iodized salt) — with explicit guidance on step-wise introduction, potential die-off responses, and the need to differentiate effects in patients with simple THC-triggered disruption versus those with deeper underlying colonization states. No prior published work has proposed C. albicans as a mechanistic contributor to CHS.</w:t>
      </w:r>
    </w:p>
    <w:p w14:paraId="4E3C7699" w14:textId="77777777" w:rsidR="0079565C" w:rsidRDefault="00000000">
      <w:pPr>
        <w:spacing w:after="180" w:line="300" w:lineRule="auto"/>
      </w:pPr>
      <w:r>
        <w:t xml:space="preserve">We further propose that the social component of the co-evolutionary architecture was initiated before the salinity oscillations through the discovery and communal use of exogenous </w:t>
      </w:r>
      <w:proofErr w:type="spellStart"/>
      <w:r>
        <w:t>phytocannabinoids</w:t>
      </w:r>
      <w:proofErr w:type="spellEnd"/>
      <w:r>
        <w:t>, which promoted peaceful social bonding, group cohesion, and cooperative behavior. This pre-linguistic social flywheel, reinforced epigenetically through transgenerational cannabinoid-induced methylation changes and evolution of cannabis variants through cultivation, established cooperative social structure before the emergence of language. Language did not create the co-evolutionary trinity of symbiont, host physiology, and social structure. It fulfilled the requirements of a civilization based around the passage of knowledge, allowing it to accelerate. Additionally, we note discipline on the order of a religion was necessary to complete the final arcs of coevolution.</w:t>
      </w:r>
    </w:p>
    <w:p w14:paraId="009EAD84" w14:textId="77777777" w:rsidR="0079565C" w:rsidRDefault="00000000">
      <w:pPr>
        <w:spacing w:after="180" w:line="300" w:lineRule="auto"/>
      </w:pPr>
      <w:r>
        <w:t>Single-cell transcriptomic evidence (</w:t>
      </w:r>
      <w:proofErr w:type="spellStart"/>
      <w:r>
        <w:t>Dumeaux</w:t>
      </w:r>
      <w:proofErr w:type="spellEnd"/>
      <w:r>
        <w:t xml:space="preserve"> et al., 2023) demonstrating pre-positioned bet hedging, distributed survival strategies, and controlled genome destabilization in C. albicans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C. albicans genome (14.3 Mb, approximately 6,400 genes) encodes over 1,300 genes with no orthologs in other yeast species, the majority of which remain functionally uncharacterized.</w:t>
      </w:r>
    </w:p>
    <w:p w14:paraId="627363F0" w14:textId="77777777" w:rsidR="0079565C" w:rsidRDefault="00000000">
      <w:pPr>
        <w:spacing w:after="180" w:line="300" w:lineRule="auto"/>
      </w:pPr>
      <w:r>
        <w:t xml:space="preserve">We designate the symbiont-active hominid phenotype Homo candidus and argue that a subsequent genetic shift in cardiac architecture from suction-dominant to pump-dominant circulation disrupted the co-evolutionary trinity, producing the modern human condition in which the symbiont persists commensally but can no longer execute its full physiological program. Sixteen testable predictions are presented, including proposed experiments in simulated gastric environments, comparative mycobiome </w:t>
      </w:r>
      <w:r>
        <w:lastRenderedPageBreak/>
        <w:t xml:space="preserve">analysis of Rift Valley populations, computational genomic analysis of uncharacterized C. albicans genes using biological foundation models, and molecular dating of the C. albicans / C. </w:t>
      </w:r>
      <w:proofErr w:type="spellStart"/>
      <w:r>
        <w:t>dubliniensis</w:t>
      </w:r>
      <w:proofErr w:type="spellEnd"/>
      <w:r>
        <w:t xml:space="preserve"> divergence.</w:t>
      </w:r>
    </w:p>
    <w:p w14:paraId="7FCDD6DC" w14:textId="77777777" w:rsidR="0079565C" w:rsidRDefault="0079565C">
      <w:pPr>
        <w:pBdr>
          <w:bottom w:val="single" w:sz="6" w:space="1" w:color="999999"/>
        </w:pBdr>
        <w:spacing w:before="240" w:after="240"/>
      </w:pPr>
    </w:p>
    <w:p w14:paraId="16B8B813" w14:textId="77777777" w:rsidR="0079565C" w:rsidRDefault="00000000">
      <w:pPr>
        <w:pStyle w:val="Heading1"/>
      </w:pPr>
      <w:r>
        <w:t>3. Chronic Disease as Stuck Program Modes of the Candida albicans Biochemical Computer</w:t>
      </w:r>
    </w:p>
    <w:p w14:paraId="477A7802" w14:textId="77777777" w:rsidR="0079565C" w:rsidRDefault="00000000">
      <w:pPr>
        <w:spacing w:after="240"/>
      </w:pPr>
      <w:r>
        <w:rPr>
          <w:b/>
          <w:bCs/>
        </w:rPr>
        <w:t xml:space="preserve">DOI: </w:t>
      </w:r>
      <w:hyperlink r:id="rId11" w:history="1">
        <w:r>
          <w:rPr>
            <w:rStyle w:val="Hyperlink"/>
          </w:rPr>
          <w:t>10.5281/zenodo.19582484</w:t>
        </w:r>
      </w:hyperlink>
    </w:p>
    <w:p w14:paraId="405ACD07" w14:textId="77777777" w:rsidR="0079565C" w:rsidRDefault="00000000">
      <w:pPr>
        <w:pStyle w:val="Heading2"/>
      </w:pPr>
      <w:r>
        <w:t>Summary for the Reader from the Architect</w:t>
      </w:r>
    </w:p>
    <w:p w14:paraId="76785962" w14:textId="77777777" w:rsidR="0079565C" w:rsidRDefault="00000000">
      <w:pPr>
        <w:spacing w:after="180" w:line="300" w:lineRule="auto"/>
      </w:pPr>
      <w:r>
        <w:t xml:space="preserve">This is the umbrella paper — the one that introduces a new category of disease: the </w:t>
      </w:r>
      <w:r>
        <w:rPr>
          <w:i/>
          <w:iCs/>
        </w:rPr>
        <w:t>stuck program mode</w:t>
      </w:r>
      <w:r>
        <w:t>.</w:t>
      </w:r>
    </w:p>
    <w:p w14:paraId="020A0EA0" w14:textId="77777777" w:rsidR="0079565C" w:rsidRDefault="00000000">
      <w:pPr>
        <w:spacing w:after="180" w:line="300" w:lineRule="auto"/>
      </w:pPr>
      <w:r>
        <w:t xml:space="preserve">Here's the idea. The biochemical computer framework in Paper A says C. albicans runs phased programs — it does one thing, then transitions to doing another, then another, responding to signals from the host and the environment. </w:t>
      </w:r>
      <w:r>
        <w:rPr>
          <w:i/>
          <w:iCs/>
        </w:rPr>
        <w:t>[Like the seasons of a farm operation: planting phase, growing phase, harvest phase, fallow phase. Each phase uses a different set of tools.]</w:t>
      </w:r>
      <w:r>
        <w:t xml:space="preserve"> Each phase uses specific organism capabilities to manage host physiology. When the signal to move to the next phase fails to arrive, the capability runs indefinitely. The phase gets stuck on. And the host phenotype that </w:t>
      </w:r>
      <w:proofErr w:type="gramStart"/>
      <w:r>
        <w:t>results</w:t>
      </w:r>
      <w:proofErr w:type="gramEnd"/>
      <w:r>
        <w:t xml:space="preserve"> is what conventional medicine classifies as a chronic disease.</w:t>
      </w:r>
    </w:p>
    <w:p w14:paraId="56DFB3B7" w14:textId="77777777" w:rsidR="0079565C" w:rsidRDefault="00000000">
      <w:pPr>
        <w:spacing w:after="180" w:line="300" w:lineRule="auto"/>
      </w:pPr>
      <w:r>
        <w:t xml:space="preserve">The paper lays out a three-gate selection rule for identifying candidates: (1) the organism has a documented mechanism that maps directly onto the disease's central pathology, (2) the disease persists in ways conventional medicine can't explain </w:t>
      </w:r>
      <w:r>
        <w:rPr>
          <w:i/>
          <w:iCs/>
        </w:rPr>
        <w:t>["unknown etiology," "idiopathic," "multifactorial"]</w:t>
      </w:r>
      <w:r>
        <w:t xml:space="preserve">, and (3) the disease shows demographic or geographic clustering consistent with quorum sensing or colonization density dynamics. </w:t>
      </w:r>
      <w:r>
        <w:rPr>
          <w:i/>
          <w:iCs/>
        </w:rPr>
        <w:t>[If it clusters by group, by region, or by life stage, that's a signal.]</w:t>
      </w:r>
    </w:p>
    <w:p w14:paraId="5EFE5809" w14:textId="77777777" w:rsidR="0079565C" w:rsidRDefault="00000000">
      <w:pPr>
        <w:spacing w:after="180" w:line="300" w:lineRule="auto"/>
      </w:pPr>
      <w:r>
        <w:t>Five conditions are analyzed in companion papers: *</w:t>
      </w:r>
      <w:r>
        <w:rPr>
          <w:i/>
          <w:iCs/>
        </w:rPr>
        <w:t>type 2 diabetes (glucose harvesting without phase transition), anorexia nervosa (substrate restriction without phase transition), irritable bowel syndrome (gut management frozen in a single operating state), obesity (growth/storage without phase transition), and Parkinson's disease</w:t>
      </w:r>
      <w:r>
        <w:t>* (dopaminergic interface burnout — explicitly flagged as the speculative one of the five).</w:t>
      </w:r>
    </w:p>
    <w:p w14:paraId="5E8438F8" w14:textId="77777777" w:rsidR="0079565C" w:rsidRDefault="00000000">
      <w:pPr>
        <w:spacing w:after="180" w:line="300" w:lineRule="auto"/>
      </w:pPr>
      <w:r>
        <w:t xml:space="preserve">A unified therapeutic framework is proposed: substrate change, antifungal pressure, and sustained duration. </w:t>
      </w:r>
      <w:r>
        <w:rPr>
          <w:i/>
          <w:iCs/>
        </w:rPr>
        <w:t>[Change what you feed it. Put pressure on it. Don't stop when you start feeling better — that's when people always stop.]</w:t>
      </w:r>
      <w:r>
        <w:t xml:space="preserve"> The single measurable variable that should predict disease severity, intervention response, and relapse risk across all five is quorum sensing density. </w:t>
      </w:r>
      <w:r>
        <w:rPr>
          <w:i/>
          <w:iCs/>
        </w:rPr>
        <w:t xml:space="preserve">[Find the density threshold and you find the </w:t>
      </w:r>
      <w:proofErr w:type="gramStart"/>
      <w:r>
        <w:rPr>
          <w:i/>
          <w:iCs/>
        </w:rPr>
        <w:t>off-switch</w:t>
      </w:r>
      <w:proofErr w:type="gramEnd"/>
      <w:r>
        <w:rPr>
          <w:i/>
          <w:iCs/>
        </w:rPr>
        <w:t>.]</w:t>
      </w:r>
    </w:p>
    <w:p w14:paraId="118A6AEC" w14:textId="77777777" w:rsidR="0079565C" w:rsidRDefault="00000000">
      <w:pPr>
        <w:pStyle w:val="Heading2"/>
      </w:pPr>
      <w:r>
        <w:t>Abstract</w:t>
      </w:r>
    </w:p>
    <w:p w14:paraId="063497A2" w14:textId="77777777" w:rsidR="0079565C" w:rsidRDefault="00000000">
      <w:pPr>
        <w:spacing w:after="180" w:line="300" w:lineRule="auto"/>
      </w:pPr>
      <w:r>
        <w:lastRenderedPageBreak/>
        <w:t>This paper introduces the stuck-program model, a framework for understanding chronic diseases as phased biological programs that failed to transition. The model derives from the biochemical computer framework (Craddock, 2026a; 2026b), which describes Candida albicans as a coevolved fungal symbiont operating phased programs within the mammalian host using documented cross-kingdom signaling capabilities. Each program phase employs specific organism capabilities to manage host physiology. When a phase transition signal fails, the capability runs indefinitely, producing a host phenotype that conventional medicine classifies as chronic disease.</w:t>
      </w:r>
    </w:p>
    <w:p w14:paraId="2AA9E8A9" w14:textId="77777777" w:rsidR="0079565C" w:rsidRDefault="00000000">
      <w:pPr>
        <w:spacing w:after="180" w:line="300" w:lineRule="auto"/>
      </w:pPr>
      <w:r>
        <w:t>A three-gate selection methodology is presented for identifying candidate conditions: (1) documented organism mechanism mapping directly to the disease's central pathology, (2) unexplained persistence in conventional medicine, and (3) demographic or geographic clustering patterns consistent with quorum sensing or colonization density dynamics. Five conditions are analyzed in companion papers: type 2 diabetes (glucose harvesting without phase transition), anorexia nervosa (substrate restriction without phase transition), irritable bowel syndrome (gut management frozen in a single operating state), obesity (growth/storage without phase transition), and Parkinson's disease (dopaminergic interface burnout; speculative).</w:t>
      </w:r>
    </w:p>
    <w:p w14:paraId="534F67D2" w14:textId="77777777" w:rsidR="0079565C" w:rsidRDefault="00000000">
      <w:pPr>
        <w:spacing w:after="180" w:line="300" w:lineRule="auto"/>
      </w:pPr>
      <w:r>
        <w:t>A unified therapeutic framework combining substrate change, antifungal pressure, and sustained duration is proposed, along with the identification of quorum sensing density as the single measurable variable that should predict disease severity, intervention response, and relapse risk across all five conditions.</w:t>
      </w:r>
    </w:p>
    <w:p w14:paraId="284EC79F" w14:textId="77777777" w:rsidR="0079565C" w:rsidRDefault="0079565C">
      <w:pPr>
        <w:pBdr>
          <w:bottom w:val="single" w:sz="6" w:space="1" w:color="999999"/>
        </w:pBdr>
        <w:spacing w:before="240" w:after="240"/>
      </w:pPr>
    </w:p>
    <w:p w14:paraId="714CDA8D" w14:textId="77777777" w:rsidR="0079565C" w:rsidRDefault="00000000">
      <w:pPr>
        <w:pStyle w:val="Heading1"/>
      </w:pPr>
      <w:r>
        <w:t>4. Type 2 Diabetes as a Stuck Program Mode</w:t>
      </w:r>
    </w:p>
    <w:p w14:paraId="2C69517A" w14:textId="77777777" w:rsidR="0079565C" w:rsidRDefault="00000000">
      <w:pPr>
        <w:spacing w:after="240"/>
      </w:pPr>
      <w:r>
        <w:rPr>
          <w:b/>
          <w:bCs/>
        </w:rPr>
        <w:t xml:space="preserve">DOI: </w:t>
      </w:r>
      <w:hyperlink r:id="rId12" w:history="1">
        <w:r>
          <w:rPr>
            <w:rStyle w:val="Hyperlink"/>
          </w:rPr>
          <w:t>10.5281/zenodo.19582791</w:t>
        </w:r>
      </w:hyperlink>
    </w:p>
    <w:p w14:paraId="5F6791B5" w14:textId="77777777" w:rsidR="0079565C" w:rsidRDefault="00000000">
      <w:pPr>
        <w:pStyle w:val="Heading2"/>
      </w:pPr>
      <w:r>
        <w:t>Summary for the Reader from the Architect</w:t>
      </w:r>
    </w:p>
    <w:p w14:paraId="234DA52C" w14:textId="77777777" w:rsidR="0079565C" w:rsidRDefault="00000000">
      <w:pPr>
        <w:spacing w:after="180" w:line="300" w:lineRule="auto"/>
      </w:pPr>
      <w:r>
        <w:t>Of the five stuck modes, this is the cleanest mechanistic case.</w:t>
      </w:r>
    </w:p>
    <w:p w14:paraId="74C64958" w14:textId="77777777" w:rsidR="0079565C" w:rsidRDefault="00000000">
      <w:pPr>
        <w:spacing w:after="180" w:line="300" w:lineRule="auto"/>
      </w:pPr>
      <w:r>
        <w:t xml:space="preserve">The standard story for type 2 diabetes is: too much weight, not enough exercise, bad genes — and then progressive insulin resistance, eventually beta cell failure. </w:t>
      </w:r>
      <w:r>
        <w:rPr>
          <w:i/>
          <w:iCs/>
        </w:rPr>
        <w:t>[Beta cells: the pancreatic cells that make insulin. When they fail, you're insulin-dependent for life.]</w:t>
      </w:r>
      <w:r>
        <w:t xml:space="preserve"> That story does not explain why the deterioration keeps going in patients whose insulin production is still adequate. And it really does not explain why bariatric surgery and extreme caloric restriction produce remission in timeframes too short for the structural changes the model invokes. </w:t>
      </w:r>
      <w:r>
        <w:rPr>
          <w:i/>
          <w:iCs/>
        </w:rPr>
        <w:t>[The math doesn't work. People improve faster than weight loss alone can account for.]</w:t>
      </w:r>
    </w:p>
    <w:p w14:paraId="75F8B64B" w14:textId="77777777" w:rsidR="0079565C" w:rsidRDefault="00000000">
      <w:pPr>
        <w:spacing w:after="180" w:line="300" w:lineRule="auto"/>
      </w:pPr>
      <w:r>
        <w:t xml:space="preserve">Here's the alternative. C. albicans </w:t>
      </w:r>
      <w:proofErr w:type="gramStart"/>
      <w:r>
        <w:t>has</w:t>
      </w:r>
      <w:proofErr w:type="gramEnd"/>
      <w:r>
        <w:t xml:space="preserve"> a membrane glucose sensor called Hgt4, calibrated to roughly 5 mM — which happens to be the approximately normal human blood glucose concentration. </w:t>
      </w:r>
      <w:r>
        <w:rPr>
          <w:i/>
          <w:iCs/>
        </w:rPr>
        <w:lastRenderedPageBreak/>
        <w:t>[Approximately 90 mg/dL in US units. The setpoint your pancreas is trying to hold.]</w:t>
      </w:r>
      <w:r>
        <w:t xml:space="preserve"> That's not a coincidence; that's a receptor tuned to the host's operating range. </w:t>
      </w:r>
      <w:proofErr w:type="spellStart"/>
      <w:r>
        <w:t>Peroumal</w:t>
      </w:r>
      <w:proofErr w:type="spellEnd"/>
      <w:r>
        <w:t xml:space="preserve"> et al. (2022) demonstrated that C. albicans colonization measurably alters GLP-1, GIP, and insulin levels. </w:t>
      </w:r>
      <w:r>
        <w:rPr>
          <w:i/>
          <w:iCs/>
        </w:rPr>
        <w:t>[Those are your incretin hormones — the signals that tell your pancreas when and how much insulin to release. The organism can move them.]</w:t>
      </w:r>
    </w:p>
    <w:p w14:paraId="617648DD" w14:textId="77777777" w:rsidR="0079565C" w:rsidRDefault="00000000">
      <w:pPr>
        <w:spacing w:after="180" w:line="300" w:lineRule="auto"/>
      </w:pPr>
      <w:r>
        <w:t xml:space="preserve">The framework proposes that type 2 diabetes is the organism's glucose-harvesting phase running without a phase transition. The modern dietary environment — effectively unlimited glucose — never delivers the substrate shift that would signal "we're done here, move to the next phase." </w:t>
      </w:r>
      <w:r>
        <w:rPr>
          <w:i/>
          <w:iCs/>
        </w:rPr>
        <w:t>[In the ancestral environment, food availability changed. Seasons, scarcity, feasts, fasts. The signal was built into the environment. Modern food supply removed the signal.]</w:t>
      </w:r>
      <w:r>
        <w:t xml:space="preserve"> </w:t>
      </w:r>
      <w:proofErr w:type="gramStart"/>
      <w:r>
        <w:t>So</w:t>
      </w:r>
      <w:proofErr w:type="gramEnd"/>
      <w:r>
        <w:t xml:space="preserve"> the organism keeps running the harvest. Continuous glucose </w:t>
      </w:r>
      <w:proofErr w:type="gramStart"/>
      <w:r>
        <w:t>draw</w:t>
      </w:r>
      <w:proofErr w:type="gramEnd"/>
      <w:r>
        <w:t>. Progressive insulin resistance. Eventually the pancreas can't keep up.</w:t>
      </w:r>
    </w:p>
    <w:p w14:paraId="11D63C9A" w14:textId="77777777" w:rsidR="0079565C" w:rsidRDefault="00000000">
      <w:pPr>
        <w:spacing w:after="180" w:line="300" w:lineRule="auto"/>
      </w:pPr>
      <w:r>
        <w:t xml:space="preserve">The model explains bariatric surgery </w:t>
      </w:r>
      <w:r>
        <w:rPr>
          <w:i/>
          <w:iCs/>
        </w:rPr>
        <w:t>[it rearranges the habitat the organism lives in]</w:t>
      </w:r>
      <w:r>
        <w:t xml:space="preserve"> and GLP-1 agonists like semaglutide </w:t>
      </w:r>
      <w:r>
        <w:rPr>
          <w:i/>
          <w:iCs/>
        </w:rPr>
        <w:t xml:space="preserve">[Ozempic, </w:t>
      </w:r>
      <w:proofErr w:type="spellStart"/>
      <w:r>
        <w:rPr>
          <w:i/>
          <w:iCs/>
        </w:rPr>
        <w:t>Wegovy</w:t>
      </w:r>
      <w:proofErr w:type="spellEnd"/>
      <w:r>
        <w:rPr>
          <w:i/>
          <w:iCs/>
        </w:rPr>
        <w:t xml:space="preserve"> — they override the sensing channel the organism uses]</w:t>
      </w:r>
      <w:r>
        <w:t xml:space="preserve"> as two different ways of breaking the stuck state. Five testable predictions are presented, including studies correlating organism density with insulin resistance severity and with differential treatment response.</w:t>
      </w:r>
    </w:p>
    <w:p w14:paraId="62DF8C27" w14:textId="77777777" w:rsidR="0079565C" w:rsidRDefault="00000000">
      <w:pPr>
        <w:pStyle w:val="Heading2"/>
      </w:pPr>
      <w:r>
        <w:t>Abstract</w:t>
      </w:r>
    </w:p>
    <w:p w14:paraId="35109474" w14:textId="77777777" w:rsidR="0079565C" w:rsidRDefault="00000000">
      <w:pPr>
        <w:spacing w:after="180" w:line="300" w:lineRule="auto"/>
      </w:pPr>
      <w:r>
        <w:t>Type 2 diabetes mellitus (T2D) is characterized by progressive insulin resistance and beta cell failure, resulting in chronic hyperglycemia. The standard model attributes this deterioration to adiposity, sedentary behavior, and genetic predisposition, but does not fully explain why the deterioration is progressive and self-sustaining in patients who maintain adequate insulin production, or why certain interventions (bariatric surgery, extreme caloric restriction) produce remission in timeframes too short to reflect the structural changes the model invokes.</w:t>
      </w:r>
    </w:p>
    <w:p w14:paraId="581BE946" w14:textId="77777777" w:rsidR="0079565C" w:rsidRDefault="00000000">
      <w:pPr>
        <w:spacing w:after="180" w:line="300" w:lineRule="auto"/>
      </w:pPr>
      <w:r>
        <w:t xml:space="preserve">This paper applies the biochemical computer framework (Craddock, 2026a; 2026b) to propose that T2D represents a stuck program mode in which the glucose harvesting capability of the commensal fungal symbiont Candida albicans runs continuously without phase transition. The organism possesses Hgt4, a membrane glucose sensor calibrated to approximately 5 </w:t>
      </w:r>
      <w:proofErr w:type="gramStart"/>
      <w:r>
        <w:t>mM</w:t>
      </w:r>
      <w:proofErr w:type="gramEnd"/>
      <w:r>
        <w:t xml:space="preserve"> human blood glucose. Its colonization measurably alters GLP-1, GIP, and insulin levels (</w:t>
      </w:r>
      <w:proofErr w:type="spellStart"/>
      <w:r>
        <w:t>Peroumal</w:t>
      </w:r>
      <w:proofErr w:type="spellEnd"/>
      <w:r>
        <w:t xml:space="preserve"> et al., 2022). The framework proposes that the modern dietary environment, providing effectively unlimited glucose, prevents the substrate shift signal that would normally advance the organism's program to the next phase.</w:t>
      </w:r>
    </w:p>
    <w:p w14:paraId="41D1190B" w14:textId="77777777" w:rsidR="0079565C" w:rsidRDefault="00000000">
      <w:pPr>
        <w:spacing w:after="180" w:line="300" w:lineRule="auto"/>
      </w:pPr>
      <w:r>
        <w:t>The resulting continuous glucose draw produces the progressive insulin resistance and eventual beta cell failure observed clinically. Five testable predictions are presented, including proposed studies correlating organism density with insulin resistance severity and differential therapeutic response.</w:t>
      </w:r>
    </w:p>
    <w:p w14:paraId="0DBA8315" w14:textId="77777777" w:rsidR="0079565C" w:rsidRDefault="0079565C">
      <w:pPr>
        <w:pBdr>
          <w:bottom w:val="single" w:sz="6" w:space="1" w:color="999999"/>
        </w:pBdr>
        <w:spacing w:before="240" w:after="240"/>
      </w:pPr>
    </w:p>
    <w:p w14:paraId="47436610" w14:textId="77777777" w:rsidR="0079565C" w:rsidRDefault="00000000">
      <w:pPr>
        <w:pStyle w:val="Heading1"/>
      </w:pPr>
      <w:r>
        <w:lastRenderedPageBreak/>
        <w:t>5. Obesity as a Stuck Program Mode of the Candida albicans Biochemical Computer</w:t>
      </w:r>
    </w:p>
    <w:p w14:paraId="7FAF5ECE" w14:textId="77777777" w:rsidR="0079565C" w:rsidRDefault="00000000">
      <w:pPr>
        <w:spacing w:after="240"/>
      </w:pPr>
      <w:r>
        <w:rPr>
          <w:b/>
          <w:bCs/>
        </w:rPr>
        <w:t xml:space="preserve">DOI: </w:t>
      </w:r>
      <w:hyperlink r:id="rId13" w:history="1">
        <w:r>
          <w:rPr>
            <w:rStyle w:val="Hyperlink"/>
          </w:rPr>
          <w:t>10.5281/zenodo.19600443</w:t>
        </w:r>
      </w:hyperlink>
    </w:p>
    <w:p w14:paraId="05D513BA" w14:textId="77777777" w:rsidR="0079565C" w:rsidRDefault="00000000">
      <w:pPr>
        <w:pStyle w:val="Heading2"/>
      </w:pPr>
      <w:r>
        <w:t>Summary for the Reader from the Architect</w:t>
      </w:r>
    </w:p>
    <w:p w14:paraId="5A628908" w14:textId="77777777" w:rsidR="0079565C" w:rsidRDefault="00000000">
      <w:pPr>
        <w:spacing w:after="180" w:line="300" w:lineRule="auto"/>
      </w:pPr>
      <w:r>
        <w:t xml:space="preserve">If type 2 diabetes is the cleanest stuck mode, obesity is the most diffuse — and the most important. </w:t>
      </w:r>
      <w:r>
        <w:rPr>
          <w:i/>
          <w:iCs/>
        </w:rPr>
        <w:t>[Over 1 billion people worldwide. 95% weight regain within five years. That isn't insufficient willpower; that is a defended equilibrium.]</w:t>
      </w:r>
    </w:p>
    <w:p w14:paraId="112FD62B" w14:textId="77777777" w:rsidR="0079565C" w:rsidRDefault="00000000">
      <w:pPr>
        <w:spacing w:after="180" w:line="300" w:lineRule="auto"/>
      </w:pPr>
      <w:r>
        <w:t xml:space="preserve">The standard model says you ate too much, moved too little, and now your body is storing the excess. The stuck-program model says the body is doing exactly what it was told to do — and it was told to do it by the organism. </w:t>
      </w:r>
      <w:r>
        <w:rPr>
          <w:i/>
          <w:iCs/>
        </w:rPr>
        <w:t>[Growth and storage phase. One of the normal operating modes in the ancestral program. It was supposed to end.]</w:t>
      </w:r>
    </w:p>
    <w:p w14:paraId="7337F66D" w14:textId="77777777" w:rsidR="0079565C" w:rsidRDefault="00000000">
      <w:pPr>
        <w:spacing w:after="180" w:line="300" w:lineRule="auto"/>
      </w:pPr>
      <w:r>
        <w:t xml:space="preserve">The mechanism runs through three channels: the incretin system </w:t>
      </w:r>
      <w:r>
        <w:rPr>
          <w:i/>
          <w:iCs/>
        </w:rPr>
        <w:t>[the gut hormones GLP-1 and GIP that tell the pancreas when to release insulin and tell the brain when to feel full — the Ozempic target]</w:t>
      </w:r>
      <w:r>
        <w:t xml:space="preserve">, the endocannabinoid system </w:t>
      </w:r>
      <w:r>
        <w:rPr>
          <w:i/>
          <w:iCs/>
        </w:rPr>
        <w:t>[CB1 receptors specifically — the same receptors cannabis activates, which is why stoners get the munchies; the organism can drive similar appetite signals without cannabis]</w:t>
      </w:r>
      <w:r>
        <w:t xml:space="preserve">, and metabolic state assessment through GLP-1 itself. The modern environment never delivers the substrate shift that ends the storage phase, so the phase keeps running. </w:t>
      </w:r>
      <w:r>
        <w:rPr>
          <w:i/>
          <w:iCs/>
        </w:rPr>
        <w:t>[Forever. Until you die of it, or until something breaks the cycle.]</w:t>
      </w:r>
    </w:p>
    <w:p w14:paraId="44F5A663" w14:textId="77777777" w:rsidR="0079565C" w:rsidRDefault="00000000">
      <w:pPr>
        <w:spacing w:after="180" w:line="300" w:lineRule="auto"/>
      </w:pPr>
      <w:r>
        <w:t>This is a *</w:t>
      </w:r>
      <w:r>
        <w:rPr>
          <w:i/>
          <w:iCs/>
        </w:rPr>
        <w:t>version conflict</w:t>
      </w:r>
      <w:r>
        <w:t xml:space="preserve">*: an ancestral program refined for Homo candidus running inside a modern host whose environment no longer supplies the signals the program expects. The framework resolves the set-point problem </w:t>
      </w:r>
      <w:r>
        <w:rPr>
          <w:i/>
          <w:iCs/>
        </w:rPr>
        <w:t>[why your body fights weight loss like you're starving, even when you aren't]</w:t>
      </w:r>
      <w:r>
        <w:t xml:space="preserve">, explains why bariatric surgery works so dramatically </w:t>
      </w:r>
      <w:r>
        <w:rPr>
          <w:i/>
          <w:iCs/>
        </w:rPr>
        <w:t>[habitat disruption — rearrange the real estate the organism lives in]</w:t>
      </w:r>
      <w:r>
        <w:t xml:space="preserve"> and why GLP-1 drugs work </w:t>
      </w:r>
      <w:r>
        <w:rPr>
          <w:i/>
          <w:iCs/>
        </w:rPr>
        <w:t>[sensing-channel override — you're hijacking the signal the organism uses]</w:t>
      </w:r>
      <w:r>
        <w:t xml:space="preserve">, and explains the post-1970s epidemic onset through antibiotic-era mycobiome disruption. </w:t>
      </w:r>
      <w:r>
        <w:rPr>
          <w:i/>
          <w:iCs/>
        </w:rPr>
        <w:t>[Kill off the bacteria that compete with Candida and guess who has more room to run.]</w:t>
      </w:r>
    </w:p>
    <w:p w14:paraId="1EFD084C" w14:textId="77777777" w:rsidR="0079565C" w:rsidRDefault="00000000">
      <w:pPr>
        <w:spacing w:after="180" w:line="300" w:lineRule="auto"/>
      </w:pPr>
      <w:r>
        <w:t>Five testable predictions are presented.</w:t>
      </w:r>
    </w:p>
    <w:p w14:paraId="6C340766" w14:textId="77777777" w:rsidR="0079565C" w:rsidRDefault="00000000">
      <w:pPr>
        <w:pStyle w:val="Heading2"/>
      </w:pPr>
      <w:r>
        <w:t>Abstract</w:t>
      </w:r>
    </w:p>
    <w:p w14:paraId="230CD250" w14:textId="77777777" w:rsidR="0079565C" w:rsidRDefault="00000000">
      <w:pPr>
        <w:spacing w:after="180" w:line="300" w:lineRule="auto"/>
      </w:pPr>
      <w:r>
        <w:t>Obesity affects over 1 billion people globally, with treatment limited by the near-universal failure of sustained weight loss. Approximately 95% of individuals who lose weight through dietary intervention regain it within five years, a recidivism rate that suggests a defended equilibrium rather than insufficient willpower.</w:t>
      </w:r>
    </w:p>
    <w:p w14:paraId="3DECFD16" w14:textId="77777777" w:rsidR="0079565C" w:rsidRDefault="00000000">
      <w:pPr>
        <w:spacing w:after="180" w:line="300" w:lineRule="auto"/>
      </w:pPr>
      <w:r>
        <w:t xml:space="preserve">This paper applies the biochemical computer framework (Craddock, 2026a; 2026b) to propose that obesity represents a stuck program mode in which the commensal fungal symbiont Candida albicans </w:t>
      </w:r>
      <w:r>
        <w:lastRenderedPageBreak/>
        <w:t>maintains the host in a growth and storage phase through sustained modulation of the incretin system, endocannabinoid-mediated appetite regulation, and metabolic state assessment via the GLP-1 receptor. This is a systems-level version conflict between a program refined for the Homo candidus phenotype and the modern host environment that no longer supports it.</w:t>
      </w:r>
    </w:p>
    <w:p w14:paraId="47B60D68" w14:textId="77777777" w:rsidR="0079565C" w:rsidRDefault="00000000">
      <w:pPr>
        <w:spacing w:after="180" w:line="300" w:lineRule="auto"/>
      </w:pPr>
      <w:r>
        <w:t>The framework resolves the set-point problem, explains the dramatic efficacy of bariatric surgery and GLP-1 receptor agonists as habitat disruption and sensing-channel override respectively, and accounts for the post-1970s epidemic onset through antibiotic-era mycobiome disruption. This is the most mechanistically diffuse candidate in the series, operating through multiple simultaneous signaling channels rather than a single-mechanism anchor. Five testable predictions are presented.</w:t>
      </w:r>
    </w:p>
    <w:p w14:paraId="2E2D3582" w14:textId="77777777" w:rsidR="0079565C" w:rsidRDefault="0079565C">
      <w:pPr>
        <w:pBdr>
          <w:bottom w:val="single" w:sz="6" w:space="1" w:color="999999"/>
        </w:pBdr>
        <w:spacing w:before="240" w:after="240"/>
      </w:pPr>
    </w:p>
    <w:p w14:paraId="176A9731" w14:textId="77777777" w:rsidR="0079565C" w:rsidRDefault="00000000">
      <w:pPr>
        <w:pStyle w:val="Heading1"/>
      </w:pPr>
      <w:r>
        <w:t>6. Anorexia Nervosa as a Stuck Program Mode</w:t>
      </w:r>
    </w:p>
    <w:p w14:paraId="6F36F9E8" w14:textId="77777777" w:rsidR="0079565C" w:rsidRDefault="00000000">
      <w:pPr>
        <w:spacing w:after="240"/>
      </w:pPr>
      <w:r>
        <w:rPr>
          <w:b/>
          <w:bCs/>
        </w:rPr>
        <w:t xml:space="preserve">DOI: </w:t>
      </w:r>
      <w:hyperlink r:id="rId14" w:history="1">
        <w:r>
          <w:rPr>
            <w:rStyle w:val="Hyperlink"/>
          </w:rPr>
          <w:t>10.5281/zenodo.19583423</w:t>
        </w:r>
      </w:hyperlink>
    </w:p>
    <w:p w14:paraId="2B1E2195" w14:textId="77777777" w:rsidR="0079565C" w:rsidRDefault="00000000">
      <w:pPr>
        <w:pStyle w:val="Heading2"/>
      </w:pPr>
      <w:r>
        <w:t>Summary for the Reader from the Architect</w:t>
      </w:r>
    </w:p>
    <w:p w14:paraId="3DFB24F9" w14:textId="77777777" w:rsidR="0079565C" w:rsidRDefault="00000000">
      <w:pPr>
        <w:spacing w:after="180" w:line="300" w:lineRule="auto"/>
      </w:pPr>
      <w:r>
        <w:t xml:space="preserve">Anorexia nervosa has the highest mortality rate of any psychiatric disorder. </w:t>
      </w:r>
      <w:r>
        <w:rPr>
          <w:i/>
          <w:iCs/>
        </w:rPr>
        <w:t>[That's not a figure of speech. Higher than major depression, higher than schizophrenia, higher than bipolar. The condition kills more of its patients than any other mental illness on the list.]</w:t>
      </w:r>
      <w:r>
        <w:t xml:space="preserve"> Relapse rates after weight restoration run 30–50%. Current theory cannot explain why.</w:t>
      </w:r>
    </w:p>
    <w:p w14:paraId="66C6481C" w14:textId="77777777" w:rsidR="0079565C" w:rsidRDefault="00000000">
      <w:pPr>
        <w:spacing w:after="180" w:line="300" w:lineRule="auto"/>
      </w:pPr>
      <w:r>
        <w:t xml:space="preserve">Here is the critical clue, from Monteleone et al. (2015): endocannabinoid responses to hedonic eating </w:t>
      </w:r>
      <w:r>
        <w:rPr>
          <w:i/>
          <w:iCs/>
        </w:rPr>
        <w:t xml:space="preserve">[eating for pleasure, not just for survival — the "I want </w:t>
      </w:r>
      <w:proofErr w:type="gramStart"/>
      <w:r>
        <w:rPr>
          <w:i/>
          <w:iCs/>
        </w:rPr>
        <w:t>dessert</w:t>
      </w:r>
      <w:proofErr w:type="gramEnd"/>
      <w:r>
        <w:rPr>
          <w:i/>
          <w:iCs/>
        </w:rPr>
        <w:t>" signal]</w:t>
      </w:r>
      <w:r>
        <w:t xml:space="preserve"> remain abnormal in AN </w:t>
      </w:r>
      <w:proofErr w:type="gramStart"/>
      <w:r>
        <w:t>patients</w:t>
      </w:r>
      <w:proofErr w:type="gramEnd"/>
      <w:r>
        <w:t xml:space="preserve"> even after they've been weight-restored. </w:t>
      </w:r>
      <w:r>
        <w:rPr>
          <w:i/>
          <w:iCs/>
        </w:rPr>
        <w:t>[The weight comes back. The dysregulation doesn't go away. Whatever was broken is still broken.]</w:t>
      </w:r>
      <w:r>
        <w:t xml:space="preserve"> Something outlasts the caloric deficit. The physiological disruption is not downstream of starvation — starvation is downstream of the disruption.</w:t>
      </w:r>
    </w:p>
    <w:p w14:paraId="5FC94A57" w14:textId="77777777" w:rsidR="0079565C" w:rsidRDefault="00000000">
      <w:pPr>
        <w:spacing w:after="180" w:line="300" w:lineRule="auto"/>
      </w:pPr>
      <w:r>
        <w:t xml:space="preserve">The stuck-program model: C. albicans has locked the host into a substrate restriction phase. </w:t>
      </w:r>
      <w:r>
        <w:rPr>
          <w:i/>
          <w:iCs/>
        </w:rPr>
        <w:t>[A normal phase in the ancestral program — probably the one that ran during scarcity, when the organism needed to preserve itself and downshift host metabolism. It was supposed to end when conditions changed.]</w:t>
      </w:r>
      <w:r>
        <w:t xml:space="preserve"> The organism is modulating endocannabinoid tone </w:t>
      </w:r>
      <w:r>
        <w:rPr>
          <w:i/>
          <w:iCs/>
        </w:rPr>
        <w:t>[appetite, reward, satiety signals]</w:t>
      </w:r>
      <w:r>
        <w:t xml:space="preserve">, serotonin precursor availability </w:t>
      </w:r>
      <w:r>
        <w:rPr>
          <w:i/>
          <w:iCs/>
        </w:rPr>
        <w:t>[by diverting tryptophan into its own kynurenine pathway instead of letting it become serotonin]</w:t>
      </w:r>
      <w:r>
        <w:t xml:space="preserve">, and satiety signaling. The restriction phase serves the organism's needs in a particular metabolic configuration. The transition signal to resume normal feeding never arrives. </w:t>
      </w:r>
      <w:r>
        <w:rPr>
          <w:i/>
          <w:iCs/>
        </w:rPr>
        <w:t>[Interface error. The program is running, the feedback loop is broken, the host starves.]</w:t>
      </w:r>
    </w:p>
    <w:p w14:paraId="4835C239" w14:textId="77777777" w:rsidR="0079565C" w:rsidRDefault="00000000">
      <w:pPr>
        <w:spacing w:after="180" w:line="300" w:lineRule="auto"/>
      </w:pPr>
      <w:r>
        <w:t xml:space="preserve">The framework explains the pubertal-onset female predominance — the organism has documented sensitivity to estrogen and luteinizing hormone, and the hormonal turbulence of puberty provides both a trigger and an amplifier. </w:t>
      </w:r>
      <w:r>
        <w:rPr>
          <w:i/>
          <w:iCs/>
        </w:rPr>
        <w:t xml:space="preserve">[Why does anorexia hit teenage girls harder than any other demographic? </w:t>
      </w:r>
      <w:r>
        <w:rPr>
          <w:i/>
          <w:iCs/>
        </w:rPr>
        <w:lastRenderedPageBreak/>
        <w:t>Because the organism responds to estrogen surges. That is not a metaphor.]</w:t>
      </w:r>
      <w:r>
        <w:t xml:space="preserve"> The net effect is directly dependent on colonization density — the more organism, the deeper the lock.</w:t>
      </w:r>
    </w:p>
    <w:p w14:paraId="5168DDA5" w14:textId="77777777" w:rsidR="0079565C" w:rsidRDefault="00000000">
      <w:pPr>
        <w:spacing w:after="180" w:line="300" w:lineRule="auto"/>
      </w:pPr>
      <w:r>
        <w:t>Testable predictions link colonization density to endocannabinoid disruption severity and treatment response.</w:t>
      </w:r>
    </w:p>
    <w:p w14:paraId="3F0BF415" w14:textId="77777777" w:rsidR="0079565C" w:rsidRDefault="00000000">
      <w:pPr>
        <w:pStyle w:val="Heading2"/>
      </w:pPr>
      <w:r>
        <w:t>Abstract</w:t>
      </w:r>
    </w:p>
    <w:p w14:paraId="489FAE1C" w14:textId="77777777" w:rsidR="0079565C" w:rsidRDefault="00000000">
      <w:pPr>
        <w:spacing w:after="180" w:line="300" w:lineRule="auto"/>
      </w:pPr>
      <w:r>
        <w:t xml:space="preserve">Anorexia nervosa (AN) carries the highest mortality rate of any psychiatric disorder, with relapse rates of 30–50% following weight restoration. The persistence of the condition despite aggressive refeeding remains unexplained. Monteleone et al. (2015) demonstrated that endocannabinoid responses to hedonic eating remain abnormal in </w:t>
      </w:r>
      <w:proofErr w:type="gramStart"/>
      <w:r>
        <w:t>weight-restored</w:t>
      </w:r>
      <w:proofErr w:type="gramEnd"/>
      <w:r>
        <w:t xml:space="preserve"> AN </w:t>
      </w:r>
      <w:proofErr w:type="gramStart"/>
      <w:r>
        <w:t>patients</w:t>
      </w:r>
      <w:proofErr w:type="gramEnd"/>
      <w:r>
        <w:t>, indicating that the physiological disruption outlasts the caloric deficit.</w:t>
      </w:r>
    </w:p>
    <w:p w14:paraId="30E731E7" w14:textId="77777777" w:rsidR="0079565C" w:rsidRDefault="00000000">
      <w:pPr>
        <w:spacing w:after="180" w:line="300" w:lineRule="auto"/>
      </w:pPr>
      <w:r>
        <w:t>This paper applies the biochemical computer framework (Craddock, 2026a; 2026b) to propose that AN represents a stuck program mode in which the organism Candida albicans has locked host feeding behavior into a substrate restriction phase through sustained modulation of endocannabinoid tone, serotonin precursor availability, and satiety signaling. The restriction phase serves the organism's program requirements for specific metabolic conditions, but the transition signal to resume normal feeding fails to arrive.</w:t>
      </w:r>
    </w:p>
    <w:p w14:paraId="30723A91" w14:textId="77777777" w:rsidR="0079565C" w:rsidRDefault="00000000">
      <w:pPr>
        <w:spacing w:after="180" w:line="300" w:lineRule="auto"/>
      </w:pPr>
      <w:r>
        <w:t>The framework resolves the persistence problem, explains the pubertal-onset female predominance through documented organism sensitivity to estrogen and luteinizing hormone, and generates testable predictions linking organism colonization density to endocannabinoid disruption severity and treatment response. The net effect is directly dependent on colonization density.</w:t>
      </w:r>
    </w:p>
    <w:p w14:paraId="293DA9BD" w14:textId="77777777" w:rsidR="0079565C" w:rsidRDefault="0079565C">
      <w:pPr>
        <w:pBdr>
          <w:bottom w:val="single" w:sz="6" w:space="1" w:color="999999"/>
        </w:pBdr>
        <w:spacing w:before="240" w:after="240"/>
      </w:pPr>
    </w:p>
    <w:p w14:paraId="3DA58210" w14:textId="77777777" w:rsidR="0079565C" w:rsidRDefault="00000000">
      <w:pPr>
        <w:pStyle w:val="Heading1"/>
      </w:pPr>
      <w:r>
        <w:t>7. Irritable Bowel Syndrome as a Stuck Program Mode</w:t>
      </w:r>
    </w:p>
    <w:p w14:paraId="117B87D1" w14:textId="77777777" w:rsidR="0079565C" w:rsidRDefault="00000000">
      <w:pPr>
        <w:spacing w:after="240"/>
      </w:pPr>
      <w:r>
        <w:rPr>
          <w:b/>
          <w:bCs/>
        </w:rPr>
        <w:t xml:space="preserve">DOI: </w:t>
      </w:r>
      <w:hyperlink r:id="rId15" w:history="1">
        <w:r>
          <w:rPr>
            <w:rStyle w:val="Hyperlink"/>
          </w:rPr>
          <w:t>10.5281/zenodo.19598460</w:t>
        </w:r>
      </w:hyperlink>
    </w:p>
    <w:p w14:paraId="4B1614E6" w14:textId="77777777" w:rsidR="0079565C" w:rsidRDefault="00000000">
      <w:pPr>
        <w:pStyle w:val="Heading2"/>
      </w:pPr>
      <w:r>
        <w:t>Summary for the Reader from the Architect</w:t>
      </w:r>
    </w:p>
    <w:p w14:paraId="292C8955" w14:textId="77777777" w:rsidR="0079565C" w:rsidRDefault="00000000">
      <w:pPr>
        <w:spacing w:after="180" w:line="300" w:lineRule="auto"/>
      </w:pPr>
      <w:r>
        <w:t xml:space="preserve">IBS affects 10–15% of the global population. The Rome criteria </w:t>
      </w:r>
      <w:r>
        <w:rPr>
          <w:i/>
          <w:iCs/>
        </w:rPr>
        <w:t>[the official diagnostic rules]</w:t>
      </w:r>
      <w:r>
        <w:t xml:space="preserve"> define it by what it </w:t>
      </w:r>
      <w:r>
        <w:rPr>
          <w:i/>
          <w:iCs/>
        </w:rPr>
        <w:t>isn't</w:t>
      </w:r>
      <w:r>
        <w:t xml:space="preserve">: there's no structural damage, no infection, no tumor, no ulcer. Just a gut that doesn't work right. This paper proposes what it </w:t>
      </w:r>
      <w:r>
        <w:rPr>
          <w:i/>
          <w:iCs/>
        </w:rPr>
        <w:t>is</w:t>
      </w:r>
      <w:r>
        <w:t>.</w:t>
      </w:r>
    </w:p>
    <w:p w14:paraId="2C9D4A30" w14:textId="77777777" w:rsidR="0079565C" w:rsidRDefault="00000000">
      <w:pPr>
        <w:spacing w:after="180" w:line="300" w:lineRule="auto"/>
      </w:pPr>
      <w:r>
        <w:t xml:space="preserve">IBS is the gut-management phase of the ancestral program, locked in a single operating state. </w:t>
      </w:r>
      <w:r>
        <w:rPr>
          <w:i/>
          <w:iCs/>
        </w:rPr>
        <w:t>[Imagine a thermostat stuck on one setting. That's the gut.]</w:t>
      </w:r>
      <w:r>
        <w:t xml:space="preserve"> The organism normally handles a whole suite of gut functions — motility </w:t>
      </w:r>
      <w:r>
        <w:rPr>
          <w:i/>
          <w:iCs/>
        </w:rPr>
        <w:t>[how fast things move through]</w:t>
      </w:r>
      <w:r>
        <w:t xml:space="preserve"> via CB1 receptors, barrier integrity </w:t>
      </w:r>
      <w:r>
        <w:rPr>
          <w:i/>
          <w:iCs/>
        </w:rPr>
        <w:t>[keeping gut contents from leaking into the bloodstream]</w:t>
      </w:r>
      <w:r>
        <w:t xml:space="preserve"> via prostaglandin E2 and immune modulation, visceral pain via TRPV1 </w:t>
      </w:r>
      <w:r>
        <w:rPr>
          <w:i/>
          <w:iCs/>
        </w:rPr>
        <w:t>[the same capsaicin/hot-chili receptor, which is why spicy food lights up an IBS gut]</w:t>
      </w:r>
      <w:r>
        <w:t xml:space="preserve">, </w:t>
      </w:r>
      <w:r>
        <w:lastRenderedPageBreak/>
        <w:t xml:space="preserve">microbiome composition </w:t>
      </w:r>
      <w:r>
        <w:rPr>
          <w:i/>
          <w:iCs/>
        </w:rPr>
        <w:t>[which bacteria live there and which don't]</w:t>
      </w:r>
      <w:r>
        <w:t xml:space="preserve"> via antifungal and antibacterial secretions, and intestinal serotonin </w:t>
      </w:r>
      <w:r>
        <w:rPr>
          <w:i/>
          <w:iCs/>
        </w:rPr>
        <w:t>[most of your body's serotonin is made in the gut, not the brain]</w:t>
      </w:r>
      <w:r>
        <w:t xml:space="preserve"> via tryptophan diversion.</w:t>
      </w:r>
    </w:p>
    <w:p w14:paraId="2933D1C8" w14:textId="77777777" w:rsidR="0079565C" w:rsidRDefault="00000000">
      <w:pPr>
        <w:spacing w:after="180" w:line="300" w:lineRule="auto"/>
      </w:pPr>
      <w:r>
        <w:t xml:space="preserve">The three IBS subtypes map </w:t>
      </w:r>
      <w:proofErr w:type="gramStart"/>
      <w:r>
        <w:t>onto</w:t>
      </w:r>
      <w:proofErr w:type="gramEnd"/>
      <w:r>
        <w:t xml:space="preserve"> three different frozen modes of the same system. *</w:t>
      </w:r>
      <w:r>
        <w:rPr>
          <w:i/>
          <w:iCs/>
        </w:rPr>
        <w:t>IBS-D</w:t>
      </w:r>
      <w:r>
        <w:t xml:space="preserve">* </w:t>
      </w:r>
      <w:r>
        <w:rPr>
          <w:i/>
          <w:iCs/>
        </w:rPr>
        <w:t>[diarrhea-predominant]</w:t>
      </w:r>
      <w:r>
        <w:t xml:space="preserve"> = motility phase stuck on. *</w:t>
      </w:r>
      <w:r>
        <w:rPr>
          <w:i/>
          <w:iCs/>
        </w:rPr>
        <w:t>IBS-C</w:t>
      </w:r>
      <w:r>
        <w:t xml:space="preserve">* </w:t>
      </w:r>
      <w:r>
        <w:rPr>
          <w:i/>
          <w:iCs/>
        </w:rPr>
        <w:t>[constipation-predominant]</w:t>
      </w:r>
      <w:r>
        <w:t xml:space="preserve"> = motility phase stuck off. *</w:t>
      </w:r>
      <w:r>
        <w:rPr>
          <w:i/>
          <w:iCs/>
        </w:rPr>
        <w:t>IBS-M</w:t>
      </w:r>
      <w:r>
        <w:t xml:space="preserve">* </w:t>
      </w:r>
      <w:r>
        <w:rPr>
          <w:i/>
          <w:iCs/>
        </w:rPr>
        <w:t>[mixed]</w:t>
      </w:r>
      <w:r>
        <w:t xml:space="preserve"> = oscillating between the two without resolving. Same organism. Same toolkit. Different stuck settings.</w:t>
      </w:r>
    </w:p>
    <w:p w14:paraId="44039DED" w14:textId="77777777" w:rsidR="0079565C" w:rsidRDefault="00000000">
      <w:pPr>
        <w:spacing w:after="180" w:line="300" w:lineRule="auto"/>
      </w:pPr>
      <w:r>
        <w:t xml:space="preserve">The framework explains the 2:1 female predominance through the organism's documented sensitivity to estrogen and luteinizing hormone </w:t>
      </w:r>
      <w:r>
        <w:rPr>
          <w:i/>
          <w:iCs/>
        </w:rPr>
        <w:t>[same mechanism as anorexia — the hormones modulate the colony]</w:t>
      </w:r>
      <w:r>
        <w:t xml:space="preserve">, and explains post-infectious IBS </w:t>
      </w:r>
      <w:r>
        <w:rPr>
          <w:i/>
          <w:iCs/>
        </w:rPr>
        <w:t>[the version that shows up after a bout of food poisoning or GI infection]</w:t>
      </w:r>
      <w:r>
        <w:t xml:space="preserve"> as organism reorganization following the disruption of the bacterial community it was managing. </w:t>
      </w:r>
      <w:r>
        <w:rPr>
          <w:i/>
          <w:iCs/>
        </w:rPr>
        <w:t xml:space="preserve">[Antibiotics for the original infection wiped out the bacterial landscape. The organism had to </w:t>
      </w:r>
      <w:proofErr w:type="gramStart"/>
      <w:r>
        <w:rPr>
          <w:i/>
          <w:iCs/>
        </w:rPr>
        <w:t>rebuild</w:t>
      </w:r>
      <w:proofErr w:type="gramEnd"/>
      <w:r>
        <w:rPr>
          <w:i/>
          <w:iCs/>
        </w:rPr>
        <w:t>. It rebuilt wrong.]</w:t>
      </w:r>
    </w:p>
    <w:p w14:paraId="59CE76BF" w14:textId="77777777" w:rsidR="0079565C" w:rsidRDefault="00000000">
      <w:pPr>
        <w:spacing w:after="180" w:line="300" w:lineRule="auto"/>
      </w:pPr>
      <w:r>
        <w:t>Testable predictions link IBS subtype to organism morphological state and colonization density distribution.</w:t>
      </w:r>
    </w:p>
    <w:p w14:paraId="60AE5B92" w14:textId="77777777" w:rsidR="0079565C" w:rsidRDefault="00000000">
      <w:pPr>
        <w:pStyle w:val="Heading2"/>
      </w:pPr>
      <w:r>
        <w:t>Abstract</w:t>
      </w:r>
    </w:p>
    <w:p w14:paraId="1BFBD63E" w14:textId="77777777" w:rsidR="0079565C" w:rsidRDefault="00000000">
      <w:pPr>
        <w:spacing w:after="180" w:line="300" w:lineRule="auto"/>
      </w:pPr>
      <w:r>
        <w:t>Irritable bowel syndrome (IBS) affects 10–15% of the global population and remains a functional diagnosis defined by symptom criteria in the absence of identifiable structural pathology. The Rome criteria classify IBS by what it is not. This paper proposes what it is: a stuck program mode in which the commensal fungal symbiont Candida albicans has locked host gut management into a single operating state.</w:t>
      </w:r>
    </w:p>
    <w:p w14:paraId="2756D913" w14:textId="77777777" w:rsidR="0079565C" w:rsidRDefault="00000000">
      <w:pPr>
        <w:spacing w:after="180" w:line="300" w:lineRule="auto"/>
      </w:pPr>
      <w:r>
        <w:t>The organism manages gut motility through CB1 receptors, barrier integrity through prostaglandin E2 and immune modulation, visceral pain through TRPV1, microbiome composition through antifungal and antibacterial secretions, and intestinal serotonin through tryptophan diversion. IBS subtypes (IBS-D, IBS-C, IBS-M) represent different frozen modes of this same management system.</w:t>
      </w:r>
    </w:p>
    <w:p w14:paraId="49D26B7E" w14:textId="77777777" w:rsidR="0079565C" w:rsidRDefault="00000000">
      <w:pPr>
        <w:spacing w:after="180" w:line="300" w:lineRule="auto"/>
      </w:pPr>
      <w:r>
        <w:t>The framework resolves the persistence of a condition with no structural cause, explains the 2:1 female predominance through documented organism sensitivity to estrogen and luteinizing hormone, accounts for post-infectious IBS as organism reorganization following bacterial disruption, and generates testable predictions linking IBS subtype to organism morphological state and colonization density distribution.</w:t>
      </w:r>
    </w:p>
    <w:p w14:paraId="2872A674" w14:textId="77777777" w:rsidR="0079565C" w:rsidRDefault="0079565C">
      <w:pPr>
        <w:pBdr>
          <w:bottom w:val="single" w:sz="6" w:space="1" w:color="999999"/>
        </w:pBdr>
        <w:spacing w:before="240" w:after="240"/>
      </w:pPr>
    </w:p>
    <w:p w14:paraId="51687646" w14:textId="77777777" w:rsidR="0079565C" w:rsidRDefault="00000000">
      <w:pPr>
        <w:pStyle w:val="Heading1"/>
      </w:pPr>
      <w:r>
        <w:t>8. Parkinson's Disease as a Potential Stuck Program Mode (Speculative)</w:t>
      </w:r>
    </w:p>
    <w:p w14:paraId="2F8E35DF" w14:textId="77777777" w:rsidR="0079565C" w:rsidRDefault="00000000">
      <w:pPr>
        <w:spacing w:after="240"/>
      </w:pPr>
      <w:r>
        <w:rPr>
          <w:b/>
          <w:bCs/>
        </w:rPr>
        <w:lastRenderedPageBreak/>
        <w:t xml:space="preserve">DOI: </w:t>
      </w:r>
      <w:hyperlink r:id="rId16" w:history="1">
        <w:r>
          <w:rPr>
            <w:rStyle w:val="Hyperlink"/>
          </w:rPr>
          <w:t>10.5281/zenodo.19600888</w:t>
        </w:r>
      </w:hyperlink>
    </w:p>
    <w:p w14:paraId="7DB568B3" w14:textId="77777777" w:rsidR="0079565C" w:rsidRDefault="00000000">
      <w:pPr>
        <w:pStyle w:val="Heading2"/>
      </w:pPr>
      <w:r>
        <w:t>Summary for the Reader from the Architect</w:t>
      </w:r>
    </w:p>
    <w:p w14:paraId="337EA02D" w14:textId="77777777" w:rsidR="0079565C" w:rsidRDefault="00000000">
      <w:pPr>
        <w:spacing w:after="180" w:line="300" w:lineRule="auto"/>
      </w:pPr>
      <w:r>
        <w:t>This is the speculative one. I'm flagging it up front.</w:t>
      </w:r>
    </w:p>
    <w:p w14:paraId="1BD3AFA6" w14:textId="77777777" w:rsidR="0079565C" w:rsidRDefault="00000000">
      <w:pPr>
        <w:spacing w:after="180" w:line="300" w:lineRule="auto"/>
      </w:pPr>
      <w:r>
        <w:t xml:space="preserve">Parkinson's disease is the progressive loss of dopaminergic neurons in the substantia nigra </w:t>
      </w:r>
      <w:r>
        <w:rPr>
          <w:i/>
          <w:iCs/>
        </w:rPr>
        <w:t>[a specific region of the midbrain that makes dopamine and controls movement]</w:t>
      </w:r>
      <w:r>
        <w:t xml:space="preserve">, producing the textbook motor symptoms — tremor, rigidity, slowness. What most people don't know is that the motor symptoms often show up </w:t>
      </w:r>
      <w:r>
        <w:rPr>
          <w:i/>
          <w:iCs/>
        </w:rPr>
        <w:t>decades</w:t>
      </w:r>
      <w:r>
        <w:t xml:space="preserve"> after the non-motor ones: constipation, depression, cognitive decline, loss of smell. The gut and the brain are connected, and in Parkinson's, the gut breaks first. </w:t>
      </w:r>
      <w:r>
        <w:rPr>
          <w:i/>
          <w:iCs/>
        </w:rPr>
        <w:t>[By years. Sometimes by decades.]</w:t>
      </w:r>
    </w:p>
    <w:p w14:paraId="230629DB" w14:textId="77777777" w:rsidR="0079565C" w:rsidRDefault="00000000">
      <w:pPr>
        <w:spacing w:after="180" w:line="300" w:lineRule="auto"/>
      </w:pPr>
      <w:r>
        <w:t xml:space="preserve">That gut-first pattern is why Parkinson's has landed on the biochemical computer radar. The stuck-program candidate: the organism runs a dopaminergic interface phase </w:t>
      </w:r>
      <w:r>
        <w:rPr>
          <w:i/>
          <w:iCs/>
        </w:rPr>
        <w:t>[a phase where it taps into the host's dopamine signaling, probably for a limited duration in the ancestral program — maybe the phase tied to social bonding, maybe the reward-system calibration phase, the paper proposes candidates]</w:t>
      </w:r>
      <w:r>
        <w:t xml:space="preserve">. In the stuck mode, that interface never shuts down. Continuous engagement. Neurotoxic kynurenine pathway metabolites accumulate </w:t>
      </w:r>
      <w:r>
        <w:rPr>
          <w:i/>
          <w:iCs/>
        </w:rPr>
        <w:t>[the same tryptophan-diversion pathway the organism uses in IBS and anorexia, but here the downstream products include quinolinic acid, which is directly toxic to neurons]</w:t>
      </w:r>
      <w:r>
        <w:t>. The substantia nigra burns out.</w:t>
      </w:r>
    </w:p>
    <w:p w14:paraId="3E807307" w14:textId="77777777" w:rsidR="0079565C" w:rsidRDefault="00000000">
      <w:pPr>
        <w:spacing w:after="180" w:line="300" w:lineRule="auto"/>
      </w:pPr>
      <w:r>
        <w:t>*</w:t>
      </w:r>
      <w:r>
        <w:rPr>
          <w:i/>
          <w:iCs/>
        </w:rPr>
        <w:t xml:space="preserve">This candidate has the weakest clustering evidence of the five stuck modes, and the mechanistic chain requires more intermediary steps than the </w:t>
      </w:r>
      <w:proofErr w:type="gramStart"/>
      <w:r>
        <w:rPr>
          <w:i/>
          <w:iCs/>
        </w:rPr>
        <w:t>others.</w:t>
      </w:r>
      <w:r>
        <w:t>*</w:t>
      </w:r>
      <w:proofErr w:type="gramEnd"/>
      <w:r>
        <w:t xml:space="preserve"> </w:t>
      </w:r>
      <w:r>
        <w:rPr>
          <w:i/>
          <w:iCs/>
        </w:rPr>
        <w:t>[I'm saying this out loud because I'd rather be honest about the soft spots than get caught on them later.]</w:t>
      </w:r>
      <w:r>
        <w:t xml:space="preserve"> The paper is included to demonstrate the framework's range, to generate testable hypotheses, and to identify the specific evidentiary gaps that would need to be filled. Version conflict is probably at work — a program refined for Homo candidus with a naturally limited duration, stuck without an exit in the modern host. Interface </w:t>
      </w:r>
      <w:proofErr w:type="gramStart"/>
      <w:r>
        <w:t>error is</w:t>
      </w:r>
      <w:proofErr w:type="gramEnd"/>
      <w:r>
        <w:t xml:space="preserve"> probably at work. The specific identity of the intermediate steps is the open question.</w:t>
      </w:r>
    </w:p>
    <w:p w14:paraId="60C99D6C" w14:textId="77777777" w:rsidR="0079565C" w:rsidRDefault="00000000">
      <w:pPr>
        <w:pStyle w:val="Heading2"/>
      </w:pPr>
      <w:r>
        <w:t>Abstract</w:t>
      </w:r>
    </w:p>
    <w:p w14:paraId="31A915D2" w14:textId="77777777" w:rsidR="0079565C" w:rsidRDefault="00000000">
      <w:pPr>
        <w:spacing w:after="180" w:line="300" w:lineRule="auto"/>
      </w:pPr>
      <w:r>
        <w:t>Parkinson's disease (PD) is a progressive neurodegenerative disorder characterized by loss of dopaminergic neurons in the substantia nigra, producing motor symptoms (tremor, rigidity, bradykinesia) and non-motor symptoms (constipation, depression, cognitive decline, anosmia) that often precede motor onset by decades. The non-motor prodrome, particularly the gastrointestinal symptoms, has led to increasing interest in the gut-brain axis as a contributor to PD pathogenesis.</w:t>
      </w:r>
    </w:p>
    <w:p w14:paraId="3EB6EE1C" w14:textId="77777777" w:rsidR="0079565C" w:rsidRDefault="00000000">
      <w:pPr>
        <w:spacing w:after="180" w:line="300" w:lineRule="auto"/>
      </w:pPr>
      <w:r>
        <w:t xml:space="preserve">This paper applies the biochemical computer framework (Craddock, 2026a; 2026b) to propose, speculatively, that PD may represent a stuck program mode in which the commensal fungal symbiont Candida albicans drives sustained dopaminergic interface engagement and neurotoxic kynurenine pathway metabolite production, resulting in progressive burnout of substantia nigra neurons. A program </w:t>
      </w:r>
      <w:r>
        <w:lastRenderedPageBreak/>
        <w:t>refined for Homo candidus with a likely limited duration, but in this case stuck without an exit due to version conflict.</w:t>
      </w:r>
    </w:p>
    <w:p w14:paraId="0AD97354" w14:textId="77777777" w:rsidR="0079565C" w:rsidRDefault="00000000">
      <w:pPr>
        <w:spacing w:after="180" w:line="300" w:lineRule="auto"/>
      </w:pPr>
      <w:r>
        <w:t>This candidate is explicitly presented as a speculative extension of the framework. The mechanistic chain requires more intermediary steps than the other conditions in this series, and the clustering evidence is the weakest of any candidate. The paper is included to demonstrate the framework's range, to generate testable hypotheses, and to identify the specific evidentiary gaps that would need to be filled to strengthen or reject the proposal.</w:t>
      </w:r>
    </w:p>
    <w:p w14:paraId="532A181C" w14:textId="77777777" w:rsidR="0079565C" w:rsidRDefault="0079565C">
      <w:pPr>
        <w:pBdr>
          <w:bottom w:val="single" w:sz="6" w:space="1" w:color="999999"/>
        </w:pBdr>
        <w:spacing w:before="240" w:after="240"/>
      </w:pPr>
    </w:p>
    <w:p w14:paraId="10EBC5AA" w14:textId="77777777" w:rsidR="0079565C" w:rsidRDefault="00000000">
      <w:pPr>
        <w:pStyle w:val="Heading1"/>
      </w:pPr>
      <w:r>
        <w:t xml:space="preserve">9. Implications </w:t>
      </w:r>
      <w:proofErr w:type="gramStart"/>
      <w:r>
        <w:t>of</w:t>
      </w:r>
      <w:proofErr w:type="gramEnd"/>
      <w:r>
        <w:t xml:space="preserve"> Recognizing Candida albicans as a Biochemical Computer</w:t>
      </w:r>
    </w:p>
    <w:p w14:paraId="400AB5EB" w14:textId="77777777" w:rsidR="0079565C" w:rsidRDefault="00000000">
      <w:pPr>
        <w:spacing w:after="240"/>
      </w:pPr>
      <w:r>
        <w:rPr>
          <w:b/>
          <w:bCs/>
        </w:rPr>
        <w:t xml:space="preserve">DOI: </w:t>
      </w:r>
      <w:hyperlink r:id="rId17" w:history="1">
        <w:r>
          <w:rPr>
            <w:rStyle w:val="Hyperlink"/>
          </w:rPr>
          <w:t>10.5281/zenodo.19488040</w:t>
        </w:r>
      </w:hyperlink>
    </w:p>
    <w:p w14:paraId="75F1C3D2" w14:textId="77777777" w:rsidR="0079565C" w:rsidRDefault="00000000">
      <w:pPr>
        <w:pStyle w:val="Heading2"/>
      </w:pPr>
      <w:r>
        <w:t>Summary for the Reader from the Architect</w:t>
      </w:r>
    </w:p>
    <w:p w14:paraId="56F24C1E" w14:textId="77777777" w:rsidR="0079565C" w:rsidRDefault="00000000">
      <w:pPr>
        <w:spacing w:after="180" w:line="300" w:lineRule="auto"/>
      </w:pPr>
      <w:r>
        <w:t>If Paper A is the machine and Paper B is the origin story, this paper is the "so what." And the "so what" is the size of the U.S. healthcare system.</w:t>
      </w:r>
    </w:p>
    <w:p w14:paraId="285F0C6B" w14:textId="77777777" w:rsidR="0079565C" w:rsidRDefault="00000000">
      <w:pPr>
        <w:spacing w:after="180" w:line="300" w:lineRule="auto"/>
      </w:pPr>
      <w:r>
        <w:t xml:space="preserve">Here is the mechanical consequence of the receptor inventory in Paper A: Candida albicans has documented access to at least thirteen host signaling systems </w:t>
      </w:r>
      <w:r>
        <w:rPr>
          <w:i/>
          <w:iCs/>
        </w:rPr>
        <w:t>[estrogen, luteinizing hormone, corticosteroids, androgens, acetylcholine, glucose, lactate, tryptophan, arachidonic acid, mast cells, endocannabinoid tone, pituitary perfusion, and the entire cascade of hormones that the pituitary controls]</w:t>
      </w:r>
      <w:r>
        <w:t xml:space="preserve">. Every one of those </w:t>
      </w:r>
      <w:proofErr w:type="gramStart"/>
      <w:r>
        <w:t>interfaces</w:t>
      </w:r>
      <w:proofErr w:type="gramEnd"/>
      <w:r>
        <w:t xml:space="preserve"> maps onto a cluster of conditions that your doctor's textbook describes with the phrase "unknown etiology" or "multifactorial." </w:t>
      </w:r>
      <w:r>
        <w:rPr>
          <w:i/>
          <w:iCs/>
        </w:rPr>
        <w:t>[Medical Latin for "we have no idea."]</w:t>
      </w:r>
    </w:p>
    <w:p w14:paraId="616C1F77" w14:textId="77777777" w:rsidR="0079565C" w:rsidRDefault="00000000">
      <w:pPr>
        <w:spacing w:after="180" w:line="300" w:lineRule="auto"/>
      </w:pPr>
      <w:r>
        <w:t xml:space="preserve">The list: depression, autoimmune disease, obesity, migraine, fibromyalgia, PCOS, endometriosis, dysautonomia, chronic fatigue, irritable bowel syndrome, substance use disorders — and that's the conservative version. The aggregate U.S. cost-of-illness for these categories exceeds $2 trillion annually. </w:t>
      </w:r>
      <w:r>
        <w:rPr>
          <w:i/>
          <w:iCs/>
        </w:rPr>
        <w:t>[Roughly 40% of the nation's $5.3 trillion in total healthcare spending. Trillion with a T.]</w:t>
      </w:r>
    </w:p>
    <w:p w14:paraId="0BFFF3B9" w14:textId="77777777" w:rsidR="0079565C" w:rsidRDefault="00000000">
      <w:pPr>
        <w:spacing w:after="180" w:line="300" w:lineRule="auto"/>
      </w:pPr>
      <w:r>
        <w:t xml:space="preserve">The paper argues that treating </w:t>
      </w:r>
      <w:proofErr w:type="gramStart"/>
      <w:r>
        <w:t>all of</w:t>
      </w:r>
      <w:proofErr w:type="gramEnd"/>
      <w:r>
        <w:t xml:space="preserve"> these as independent diseases with separate research funding, separate clinical guidelines, and separate pharmaceutical pipelines is the largest misallocation of medical resources in history. </w:t>
      </w:r>
      <w:r>
        <w:rPr>
          <w:i/>
          <w:iCs/>
        </w:rPr>
        <w:t>[Not a misallocation. The largest. I'm not hedging that.]</w:t>
      </w:r>
      <w:r>
        <w:t xml:space="preserve"> A game-</w:t>
      </w:r>
      <w:proofErr w:type="gramStart"/>
      <w:r>
        <w:t>theoretic</w:t>
      </w:r>
      <w:proofErr w:type="gramEnd"/>
      <w:r>
        <w:t xml:space="preserve"> analysis then demonstrates that after approximately one million years of coevolution, the host-organism relationship is </w:t>
      </w:r>
      <w:proofErr w:type="gramStart"/>
      <w:r>
        <w:t>obligate</w:t>
      </w:r>
      <w:proofErr w:type="gramEnd"/>
      <w:r>
        <w:t xml:space="preserve"> </w:t>
      </w:r>
      <w:r>
        <w:rPr>
          <w:i/>
          <w:iCs/>
        </w:rPr>
        <w:t>[you can't get rid of it without breaking yourself; unmanaged, it breaks you anyway]</w:t>
      </w:r>
      <w:r>
        <w:t>. The only viable path is management of the phase transitions — the signals that reset the organism from one operating mode to the next.</w:t>
      </w:r>
    </w:p>
    <w:p w14:paraId="7535AB5D" w14:textId="77777777" w:rsidR="0079565C" w:rsidRDefault="00000000">
      <w:pPr>
        <w:spacing w:after="180" w:line="300" w:lineRule="auto"/>
      </w:pPr>
      <w:r>
        <w:lastRenderedPageBreak/>
        <w:t xml:space="preserve">Under managed conditions, the organism's maintenance functions — glucose regulation, cholesterol management, immune calibration, cardiovascular governance, infection suppression — produce the physiological platform the series designates </w:t>
      </w:r>
      <w:r>
        <w:rPr>
          <w:i/>
          <w:iCs/>
        </w:rPr>
        <w:t>Homo candidus</w:t>
      </w:r>
      <w:r>
        <w:t xml:space="preserve">. </w:t>
      </w:r>
      <w:r>
        <w:rPr>
          <w:i/>
          <w:iCs/>
        </w:rPr>
        <w:t>[The version of you the program was built for.]</w:t>
      </w:r>
      <w:r>
        <w:t xml:space="preserve"> The chronic diseases that currently define the aging trajectory are reframed not as inevitable features of getting older but as consequences of unmanaged program advancement. If phase transition intervals can be maintained, the implications for human longevity are measured not in years but in decades.</w:t>
      </w:r>
    </w:p>
    <w:p w14:paraId="26FC009A" w14:textId="77777777" w:rsidR="0079565C" w:rsidRDefault="00000000">
      <w:pPr>
        <w:spacing w:after="180" w:line="300" w:lineRule="auto"/>
      </w:pPr>
      <w:r>
        <w:t xml:space="preserve">A brief methodological note: the author's self-citations here are unusual because the original 1995 framework was subsequently removed from institutional access and citation indices. </w:t>
      </w:r>
      <w:r>
        <w:rPr>
          <w:i/>
          <w:iCs/>
        </w:rPr>
        <w:t>[Weird, huh? See the 1965 Exposé.]</w:t>
      </w:r>
      <w:r>
        <w:t xml:space="preserve"> The extant record is the longitudinal case study (Phase 5) and this series.</w:t>
      </w:r>
    </w:p>
    <w:p w14:paraId="2CAFEA7D" w14:textId="77777777" w:rsidR="0079565C" w:rsidRDefault="00000000">
      <w:pPr>
        <w:pStyle w:val="Heading2"/>
      </w:pPr>
      <w:r>
        <w:t>Abstract</w:t>
      </w:r>
    </w:p>
    <w:p w14:paraId="73C38F61" w14:textId="77777777" w:rsidR="0079565C" w:rsidRDefault="00000000">
      <w:pPr>
        <w:spacing w:after="180" w:line="300" w:lineRule="auto"/>
      </w:pPr>
      <w:r>
        <w:t>What if the organism living inside most humans isn't a pathogen — but a biochemical computer running maintenance on every major system in your body? This paper maps its documented receptor access to dozens of "unknown etiology" diseases costing the U.S. over $2 trillion annually, explains why killing it makes things worse, and describes what happens when you manage the relationship instead.</w:t>
      </w:r>
    </w:p>
    <w:p w14:paraId="30607181" w14:textId="77777777" w:rsidR="0079565C" w:rsidRDefault="00000000">
      <w:pPr>
        <w:spacing w:after="180" w:line="300" w:lineRule="auto"/>
      </w:pPr>
      <w:r>
        <w:t xml:space="preserve">The implications for chronic disease, obesity, addiction, and human longevity are not incremental. They are </w:t>
      </w:r>
      <w:proofErr w:type="gramStart"/>
      <w:r>
        <w:t>civilizational</w:t>
      </w:r>
      <w:proofErr w:type="gramEnd"/>
      <w:r>
        <w:t>.</w:t>
      </w:r>
    </w:p>
    <w:p w14:paraId="7EEF1FAD" w14:textId="77777777" w:rsidR="0079565C" w:rsidRDefault="0079565C">
      <w:pPr>
        <w:pBdr>
          <w:bottom w:val="single" w:sz="6" w:space="1" w:color="999999"/>
        </w:pBdr>
        <w:spacing w:before="240" w:after="240"/>
      </w:pPr>
    </w:p>
    <w:p w14:paraId="369F2A6E" w14:textId="77777777" w:rsidR="0079565C" w:rsidRDefault="00000000">
      <w:pPr>
        <w:pStyle w:val="Heading1"/>
      </w:pPr>
      <w:r>
        <w:t>10. Focal Infections 2.0 — Candida albicans and Dysbiosis</w:t>
      </w:r>
    </w:p>
    <w:p w14:paraId="132B9E19" w14:textId="77777777" w:rsidR="0079565C" w:rsidRDefault="00000000">
      <w:pPr>
        <w:spacing w:after="240"/>
      </w:pPr>
      <w:r>
        <w:rPr>
          <w:b/>
          <w:bCs/>
        </w:rPr>
        <w:t xml:space="preserve">DOI: </w:t>
      </w:r>
      <w:hyperlink r:id="rId18" w:history="1">
        <w:r>
          <w:rPr>
            <w:rStyle w:val="Hyperlink"/>
          </w:rPr>
          <w:t>10.5281/zenodo.19423069</w:t>
        </w:r>
      </w:hyperlink>
    </w:p>
    <w:p w14:paraId="0B5CDA49" w14:textId="77777777" w:rsidR="0079565C" w:rsidRDefault="00000000">
      <w:pPr>
        <w:pStyle w:val="Heading2"/>
      </w:pPr>
      <w:r>
        <w:t>Summary for the Reader from the Architect</w:t>
      </w:r>
    </w:p>
    <w:p w14:paraId="042ED4A7" w14:textId="77777777" w:rsidR="0079565C" w:rsidRDefault="00000000">
      <w:pPr>
        <w:spacing w:after="180" w:line="300" w:lineRule="auto"/>
      </w:pPr>
      <w:r>
        <w:t xml:space="preserve">There's a buried chapter in American medical history. In the early 20th century, two serious psychiatrists proposed that mental illness comes from the gut. </w:t>
      </w:r>
      <w:r>
        <w:rPr>
          <w:i/>
          <w:iCs/>
        </w:rPr>
        <w:t>[Yes. The gut. Decades before anyone said "gut-brain axis."]</w:t>
      </w:r>
      <w:r>
        <w:t xml:space="preserve"> Bayard Taylor Holmes (1852–1924) and Henry Cotton (1876–1933) argued that gut-origin infectious toxemia produced psychiatric disease. They were dismissed, ridiculed, and professionally destroyed.</w:t>
      </w:r>
    </w:p>
    <w:p w14:paraId="13A0ABA4" w14:textId="77777777" w:rsidR="0079565C" w:rsidRDefault="00000000">
      <w:pPr>
        <w:spacing w:after="180" w:line="300" w:lineRule="auto"/>
      </w:pPr>
      <w:r>
        <w:t xml:space="preserve">Holmes had real data. He documented five pathognomonic findings in dementia praecox patients </w:t>
      </w:r>
      <w:r>
        <w:rPr>
          <w:i/>
          <w:iCs/>
        </w:rPr>
        <w:t>[the diagnosis later renamed "schizophrenia"]</w:t>
      </w:r>
      <w:r>
        <w:t>: cecal stasis with 60–</w:t>
      </w:r>
      <w:proofErr w:type="gramStart"/>
      <w:r>
        <w:t>120 hour</w:t>
      </w:r>
      <w:proofErr w:type="gramEnd"/>
      <w:r>
        <w:t xml:space="preserve"> fecal transit times </w:t>
      </w:r>
      <w:r>
        <w:rPr>
          <w:i/>
          <w:iCs/>
        </w:rPr>
        <w:t>[normal transit is around 24 hours — these patients were carrying three to five days of backed-up content]</w:t>
      </w:r>
      <w:r>
        <w:t xml:space="preserve">, paradoxical adrenal responses, and elevated fecal histamine. Every one of those findings maps directly onto documented mechanisms in the C. albicans toolkit. </w:t>
      </w:r>
      <w:r>
        <w:rPr>
          <w:i/>
          <w:iCs/>
        </w:rPr>
        <w:t>[Holmes was right about the pattern. He just had the wrong organism because the tools to find it didn't exist yet.]</w:t>
      </w:r>
    </w:p>
    <w:p w14:paraId="15E5630F" w14:textId="77777777" w:rsidR="0079565C" w:rsidRDefault="00000000">
      <w:pPr>
        <w:spacing w:after="180" w:line="300" w:lineRule="auto"/>
      </w:pPr>
      <w:r>
        <w:lastRenderedPageBreak/>
        <w:t xml:space="preserve">The 1917 bacteriological work of H.M. Jones was used to discredit Holmes. This paper goes back to Jones's actual data and finds an overlooked result: </w:t>
      </w:r>
      <w:r>
        <w:rPr>
          <w:i/>
          <w:iCs/>
        </w:rPr>
        <w:t xml:space="preserve">Bacillus </w:t>
      </w:r>
      <w:proofErr w:type="spellStart"/>
      <w:r>
        <w:rPr>
          <w:i/>
          <w:iCs/>
        </w:rPr>
        <w:t>aminophilus</w:t>
      </w:r>
      <w:proofErr w:type="spellEnd"/>
      <w:r>
        <w:rPr>
          <w:i/>
          <w:iCs/>
        </w:rPr>
        <w:t xml:space="preserve"> intestinalis</w:t>
      </w:r>
      <w:r>
        <w:t xml:space="preserve"> was systematically absent in dementia praecox patients and present in healthy controls. </w:t>
      </w:r>
      <w:r>
        <w:rPr>
          <w:i/>
          <w:iCs/>
        </w:rPr>
        <w:t>[Not overgrowth of a bad bug. Absence of a good one.]</w:t>
      </w:r>
      <w:r>
        <w:t xml:space="preserve"> That pattern is consistent with dysbiosis driven by fungal ecological management — C. albicans clearing out bacterial competition — not with the bacterial-overgrowth model Jones was looking for. And the histamine Holmes found? Reinterpreted through a 1974 discovery by </w:t>
      </w:r>
      <w:proofErr w:type="spellStart"/>
      <w:r>
        <w:t>Nosál</w:t>
      </w:r>
      <w:proofErr w:type="spellEnd"/>
      <w:r>
        <w:t xml:space="preserve"> et al. that C. albicans cell wall glycoproteins trigger mast cell degranulation. </w:t>
      </w:r>
      <w:r>
        <w:rPr>
          <w:i/>
          <w:iCs/>
        </w:rPr>
        <w:t>[Mast cells are your immune system's histamine grenades. The organism pulls the pin.]</w:t>
      </w:r>
    </w:p>
    <w:p w14:paraId="1C15FDEF" w14:textId="77777777" w:rsidR="0079565C" w:rsidRDefault="00000000">
      <w:pPr>
        <w:spacing w:after="180" w:line="300" w:lineRule="auto"/>
      </w:pPr>
      <w:r>
        <w:t>The paper also proposes that *</w:t>
      </w:r>
      <w:proofErr w:type="gramStart"/>
      <w:r>
        <w:rPr>
          <w:i/>
          <w:iCs/>
        </w:rPr>
        <w:t>formication</w:t>
      </w:r>
      <w:r>
        <w:t>* —</w:t>
      </w:r>
      <w:proofErr w:type="gramEnd"/>
      <w:r>
        <w:t xml:space="preserve"> the sensation of bugs crawling under the skin, currently classified as a psychiatric symptom — represents a positive sensory screen for active C. albicans hyphal tissue mobility. </w:t>
      </w:r>
      <w:r>
        <w:rPr>
          <w:i/>
          <w:iCs/>
        </w:rPr>
        <w:t>[Hyphae: the filamentous form of the organism that literally drills through tissue. When the skin itches like bugs are crawling under it, that may be exactly what's happening — just a different organism than the bugs you were thinking of. This should prompt mycological evaluation, not a psychiatric one. Currently, it does the opposite.]</w:t>
      </w:r>
    </w:p>
    <w:p w14:paraId="12BB783E" w14:textId="77777777" w:rsidR="0079565C" w:rsidRDefault="00000000">
      <w:pPr>
        <w:spacing w:after="180" w:line="300" w:lineRule="auto"/>
      </w:pPr>
      <w:r>
        <w:t>The focal infection theorists had the correct architectural insight. The tools to complete their argument now exist.</w:t>
      </w:r>
    </w:p>
    <w:p w14:paraId="3D00A1C3" w14:textId="77777777" w:rsidR="0079565C" w:rsidRDefault="00000000">
      <w:pPr>
        <w:pStyle w:val="Heading2"/>
      </w:pPr>
      <w:r>
        <w:t>Abstract</w:t>
      </w:r>
    </w:p>
    <w:p w14:paraId="5C4A9B5E" w14:textId="77777777" w:rsidR="0079565C" w:rsidRDefault="00000000">
      <w:pPr>
        <w:spacing w:after="180" w:line="300" w:lineRule="auto"/>
      </w:pPr>
      <w:r>
        <w:t>This article examines the focal infection theory of mental illness in early 20th-century American medicine, its suppression, and its relevance to contemporary microbiome research through the lens of the Candida albicans biochemical computer framework (Craddock, 2026a; 2026b). Drawing on the scholarly work of Noll (2006) and Scull (2005), we trace the careers of Bayard Taylor Holmes (1852–1924) and Henry Cotton (1876–1933), both of whom proposed that gut-origin infectious toxemia produced psychiatric illness. Holmes documented five pathognomonic findings in dementia praecox patients, including cecal stasis with 60–</w:t>
      </w:r>
      <w:proofErr w:type="gramStart"/>
      <w:r>
        <w:t>120 hour</w:t>
      </w:r>
      <w:proofErr w:type="gramEnd"/>
      <w:r>
        <w:t xml:space="preserve"> fecal transit times, paradoxical adrenal responses, and elevated fecal histamine, each of which maps to documented mechanisms in the C. albicans signaling and immune modulation toolkit.</w:t>
      </w:r>
    </w:p>
    <w:p w14:paraId="353743B5" w14:textId="77777777" w:rsidR="0079565C" w:rsidRDefault="00000000">
      <w:pPr>
        <w:spacing w:after="180" w:line="300" w:lineRule="auto"/>
      </w:pPr>
      <w:r>
        <w:t xml:space="preserve">A critical reanalysis of the 1917 bacteriological work of H.M. Jones, whose findings were used to discredit Holmes's specific theory, reveals an overlooked result: the systematic absence of Bacillus </w:t>
      </w:r>
      <w:proofErr w:type="spellStart"/>
      <w:r>
        <w:t>aminophilus</w:t>
      </w:r>
      <w:proofErr w:type="spellEnd"/>
      <w:r>
        <w:t xml:space="preserve"> intestinalis in dementia praecox patients, present in healthy controls, consistent with dysbiosis driven by fungal ecological management rather than bacterial overproduction. The histamine Holmes detected in patients' feces is reinterpreted through the 1974 discovery (</w:t>
      </w:r>
      <w:proofErr w:type="spellStart"/>
      <w:r>
        <w:t>Nosál</w:t>
      </w:r>
      <w:proofErr w:type="spellEnd"/>
      <w:r>
        <w:t xml:space="preserve"> et al.) that C. albicans cell wall glycoproteins trigger mast cell degranulation and histamine release, a mechanism unavailable to Holmes or his contemporaries.</w:t>
      </w:r>
    </w:p>
    <w:p w14:paraId="242D5970" w14:textId="77777777" w:rsidR="0079565C" w:rsidRDefault="00000000">
      <w:pPr>
        <w:spacing w:after="180" w:line="300" w:lineRule="auto"/>
      </w:pPr>
      <w:r>
        <w:t xml:space="preserve">The article contextualizes these findings within the post-1950s disruption of the human microbiome through broad-spectrum antibiotics, the 1965 consolidation of the opportunistic pathogen paradigm for </w:t>
      </w:r>
      <w:r>
        <w:lastRenderedPageBreak/>
        <w:t>C. albicans, and the subsequent emergence of metabolic disease at population scale. Additionally, the article proposes that formication, currently classified as a psychiatric symptom, represents a positive sensory screen for active C. albicans hyphal tissue mobility and should prompt mycological rather than psychiatric evaluation. The focal infection theorists had the correct architectural insight, that gut-origin compounds reach the brain through circulation and produce psychiatric symptoms, but lacked the tools to identify the organism responsible. Those tools now exist.</w:t>
      </w:r>
    </w:p>
    <w:p w14:paraId="7ACCD9A0" w14:textId="77777777" w:rsidR="0079565C" w:rsidRDefault="0079565C">
      <w:pPr>
        <w:pBdr>
          <w:bottom w:val="single" w:sz="6" w:space="1" w:color="999999"/>
        </w:pBdr>
        <w:spacing w:before="240" w:after="240"/>
      </w:pPr>
    </w:p>
    <w:p w14:paraId="1FC5DB51" w14:textId="77777777" w:rsidR="0079565C" w:rsidRDefault="00000000">
      <w:pPr>
        <w:pStyle w:val="Heading1"/>
      </w:pPr>
      <w:r>
        <w:t>11. Kill It! Candida Albicans — The Symbiote They Didn't Want You to See</w:t>
      </w:r>
    </w:p>
    <w:p w14:paraId="047B8693" w14:textId="77777777" w:rsidR="0079565C" w:rsidRDefault="00000000">
      <w:pPr>
        <w:spacing w:after="240"/>
      </w:pPr>
      <w:r>
        <w:rPr>
          <w:b/>
          <w:bCs/>
        </w:rPr>
        <w:t xml:space="preserve">DOI: </w:t>
      </w:r>
      <w:hyperlink r:id="rId19" w:history="1">
        <w:r>
          <w:rPr>
            <w:rStyle w:val="Hyperlink"/>
          </w:rPr>
          <w:t>10.5281/zenodo.19393803</w:t>
        </w:r>
      </w:hyperlink>
    </w:p>
    <w:p w14:paraId="11E66835" w14:textId="77777777" w:rsidR="0079565C" w:rsidRDefault="00000000">
      <w:pPr>
        <w:pStyle w:val="Heading2"/>
      </w:pPr>
      <w:r>
        <w:t>Summary for the Reader from the Architect</w:t>
      </w:r>
    </w:p>
    <w:p w14:paraId="4F387293" w14:textId="77777777" w:rsidR="0079565C" w:rsidRDefault="00000000">
      <w:pPr>
        <w:spacing w:after="180" w:line="300" w:lineRule="auto"/>
      </w:pPr>
      <w:r>
        <w:t>This is the exposé. Every scientific series needs one paper that names the people, dates the event, and shows the receipts. This is that paper.</w:t>
      </w:r>
    </w:p>
    <w:p w14:paraId="43904985" w14:textId="77777777" w:rsidR="0079565C" w:rsidRDefault="00000000">
      <w:pPr>
        <w:spacing w:after="180" w:line="300" w:lineRule="auto"/>
      </w:pPr>
      <w:r>
        <w:t>*</w:t>
      </w:r>
      <w:r>
        <w:rPr>
          <w:i/>
          <w:iCs/>
        </w:rPr>
        <w:t>May 1965. Royal College of Physicians, London. The first "Symposium on Candida Infections."</w:t>
      </w:r>
      <w:r>
        <w:t xml:space="preserve">* Convened by H.I. Winner and Rosalinde Hurley. </w:t>
      </w:r>
      <w:proofErr w:type="gramStart"/>
      <w:r>
        <w:t>The proceedings,</w:t>
      </w:r>
      <w:proofErr w:type="gramEnd"/>
      <w:r>
        <w:t xml:space="preserve"> published the following year, established Candida albicans as an "opportunistic pathogen" whose clinical relevance was contingent on host compromise. </w:t>
      </w:r>
      <w:r>
        <w:rPr>
          <w:i/>
          <w:iCs/>
        </w:rPr>
        <w:t>[*</w:t>
      </w:r>
      <w:r>
        <w:t xml:space="preserve">That is not what it </w:t>
      </w:r>
      <w:proofErr w:type="gramStart"/>
      <w:r>
        <w:t>is.</w:t>
      </w:r>
      <w:r>
        <w:rPr>
          <w:i/>
          <w:iCs/>
        </w:rPr>
        <w:t>*</w:t>
      </w:r>
      <w:proofErr w:type="gramEnd"/>
      <w:r>
        <w:t xml:space="preserve"> </w:t>
      </w:r>
      <w:r>
        <w:rPr>
          <w:i/>
          <w:iCs/>
        </w:rPr>
        <w:t xml:space="preserve">An opportunistic pathogen is a microbe that behaves while you're healthy and attacks when you're sick. The organism the rest of this series describes is a co-evolved symbiont running maintenance programs. Different </w:t>
      </w:r>
      <w:proofErr w:type="gramStart"/>
      <w:r>
        <w:rPr>
          <w:i/>
          <w:iCs/>
        </w:rPr>
        <w:t>category</w:t>
      </w:r>
      <w:proofErr w:type="gramEnd"/>
      <w:r>
        <w:rPr>
          <w:i/>
          <w:iCs/>
        </w:rPr>
        <w:t xml:space="preserve"> entirely. The 1965 framing has governed clinical and research practice for sixty years — and kept everyone looking at the wrong thing.]</w:t>
      </w:r>
    </w:p>
    <w:p w14:paraId="11613E2C" w14:textId="77777777" w:rsidR="0079565C" w:rsidRDefault="00000000">
      <w:pPr>
        <w:spacing w:after="180" w:line="300" w:lineRule="auto"/>
      </w:pPr>
      <w:r>
        <w:t xml:space="preserve">This paper goes into the 1964 Medical Research Council Annual Report and Handbook — the document that shows who was in the building the year before the symposium — and does something nobody else has done. It runs systematic keyword analysis across mycology, metabolic biochemistry, membrane physiology, and adrenal immunopathology, looking for co-occurrences of specific researchers on the same pages. </w:t>
      </w:r>
      <w:r>
        <w:rPr>
          <w:i/>
          <w:iCs/>
        </w:rPr>
        <w:t>[Page-level co-occurrence. That's the forensic method. Who was in the same room.]</w:t>
      </w:r>
      <w:r>
        <w:t xml:space="preserve"> The names that surface together include *</w:t>
      </w:r>
      <w:r>
        <w:rPr>
          <w:i/>
          <w:iCs/>
        </w:rPr>
        <w:t>Rosalinde Hurley, Hans Krebs</w:t>
      </w:r>
      <w:r>
        <w:t xml:space="preserve">* </w:t>
      </w:r>
      <w:r>
        <w:rPr>
          <w:i/>
          <w:iCs/>
        </w:rPr>
        <w:t>[the Krebs cycle, yes, that Krebs — Nobel Prize, metabolism's founding father]</w:t>
      </w:r>
      <w:r>
        <w:t>, *</w:t>
      </w:r>
      <w:r>
        <w:rPr>
          <w:i/>
          <w:iCs/>
        </w:rPr>
        <w:t xml:space="preserve">R.A. Peters, D.H. Williamson, I.M. Glynn, and J.R. </w:t>
      </w:r>
      <w:proofErr w:type="gramStart"/>
      <w:r>
        <w:rPr>
          <w:i/>
          <w:iCs/>
        </w:rPr>
        <w:t>Anderson</w:t>
      </w:r>
      <w:r>
        <w:t>* —</w:t>
      </w:r>
      <w:proofErr w:type="gramEnd"/>
      <w:r>
        <w:t xml:space="preserve"> all at the MRC at the specific moment preceding the 1965 symposium. The published literature held their programs apart. The MRC's internal records did not.</w:t>
      </w:r>
    </w:p>
    <w:p w14:paraId="5A9AE311" w14:textId="77777777" w:rsidR="0079565C" w:rsidRDefault="00000000">
      <w:pPr>
        <w:spacing w:after="180" w:line="300" w:lineRule="auto"/>
      </w:pPr>
      <w:r>
        <w:t xml:space="preserve">These researchers had access to data about a large cohort of patients converted to </w:t>
      </w:r>
      <w:r>
        <w:rPr>
          <w:i/>
          <w:iCs/>
        </w:rPr>
        <w:t>Homo candidus</w:t>
      </w:r>
      <w:r>
        <w:t xml:space="preserve"> without knowing the implications back in the early 20th century. They knew the progression. They would have known it was coevolution. *</w:t>
      </w:r>
      <w:r>
        <w:rPr>
          <w:i/>
          <w:iCs/>
        </w:rPr>
        <w:t xml:space="preserve">They redacted the </w:t>
      </w:r>
      <w:proofErr w:type="gramStart"/>
      <w:r>
        <w:rPr>
          <w:i/>
          <w:iCs/>
        </w:rPr>
        <w:t>science.</w:t>
      </w:r>
      <w:r>
        <w:t>*</w:t>
      </w:r>
      <w:proofErr w:type="gramEnd"/>
    </w:p>
    <w:p w14:paraId="0305EF27" w14:textId="77777777" w:rsidR="0079565C" w:rsidRDefault="00000000">
      <w:pPr>
        <w:spacing w:after="180" w:line="300" w:lineRule="auto"/>
      </w:pPr>
      <w:r>
        <w:lastRenderedPageBreak/>
        <w:t xml:space="preserve">The bibliometrics tell the rest of the story: annual candidiasis publications fell 19% in the year after the Winner-Hurley monograph, then recovered along a trajectory bounded by the questions the symposium had sanctioned. </w:t>
      </w:r>
      <w:r>
        <w:rPr>
          <w:i/>
          <w:iCs/>
        </w:rPr>
        <w:t>[Translation: the field stopped asking the questions the symposium said not to ask.]</w:t>
      </w:r>
      <w:r>
        <w:t xml:space="preserve"> The 2022 WHO fungal priority pathogens list, sixty years later, is reinterpreted here as an institutional attention gap — not a data gap — with measurable consequences for research funding, clinical education, and patient outcomes.</w:t>
      </w:r>
    </w:p>
    <w:p w14:paraId="15B454D5" w14:textId="77777777" w:rsidR="0079565C" w:rsidRDefault="00000000">
      <w:pPr>
        <w:spacing w:after="180" w:line="300" w:lineRule="auto"/>
      </w:pPr>
      <w:r>
        <w:t xml:space="preserve">C. </w:t>
      </w:r>
      <w:proofErr w:type="gramStart"/>
      <w:r>
        <w:t>albicans</w:t>
      </w:r>
      <w:proofErr w:type="gramEnd"/>
      <w:r>
        <w:t xml:space="preserve"> is a unique symbiont that creates evolutionary pressures on all mammals. It is uniquely integrated into our system. Science should step back and re-evaluate everything we assume to be true about biology.</w:t>
      </w:r>
    </w:p>
    <w:p w14:paraId="4227228F" w14:textId="77777777" w:rsidR="0079565C" w:rsidRDefault="00000000">
      <w:pPr>
        <w:pStyle w:val="Heading2"/>
      </w:pPr>
      <w:r>
        <w:t>Abstract</w:t>
      </w:r>
    </w:p>
    <w:p w14:paraId="726594BF" w14:textId="77777777" w:rsidR="0079565C" w:rsidRDefault="00000000">
      <w:pPr>
        <w:spacing w:after="180" w:line="300" w:lineRule="auto"/>
      </w:pPr>
      <w:r>
        <w:t xml:space="preserve">In May 1965, H.I. Winner and Rosalinde Hurley convened the first "Symposium on Candida Infections" at the Royal College of Physicians, London. </w:t>
      </w:r>
      <w:proofErr w:type="gramStart"/>
      <w:r>
        <w:t>The proceedings,</w:t>
      </w:r>
      <w:proofErr w:type="gramEnd"/>
      <w:r>
        <w:t xml:space="preserve"> published the following year, established Candida albicans as an opportunistic pathogen whose clinical relevance was contingent on host compromise. The paradigm defined at that symposium has governed clinical and research practice for sixty years.</w:t>
      </w:r>
    </w:p>
    <w:p w14:paraId="3E086A8F" w14:textId="77777777" w:rsidR="0079565C" w:rsidRDefault="00000000">
      <w:pPr>
        <w:spacing w:after="180" w:line="300" w:lineRule="auto"/>
      </w:pPr>
      <w:r>
        <w:t>This article documents the institutional network that preceded and surrounded that event. Systematic keyword analysis of the 1964 Medical Research Council Annual Report and Handbook reveals page-level co-occurrences among researchers across mycology, metabolic biochemistry, membrane physiology, and adrenal immunopathology who share no co-authored publications crossing these disciplinary boundaries. Among those appearing together in MRC governance records are Rosalinde Hurley, Hans Krebs, R.A. Peters, D.H. Williamson, I.M. Glynn, and J.R. Anderson, at the specific institutional moment preceding the 1965 symposium. The published literature held these programs apart. The MRC's internal records did not.</w:t>
      </w:r>
    </w:p>
    <w:p w14:paraId="63ECBD80" w14:textId="77777777" w:rsidR="0079565C" w:rsidRDefault="00000000">
      <w:pPr>
        <w:spacing w:after="180" w:line="300" w:lineRule="auto"/>
      </w:pPr>
      <w:r>
        <w:t>Concurrent bibliometric analysis demonstrates that annual candidiasis publications fell 19% in the year following the monograph by Winner and Hurley (1964), before recovering along a trajectory bounded by the questions the symposium had sanctioned. The article further documents the metabolic work of the Oxford-Cambridge corridor, the transmission biology of C. albicans colonization, and the structural role of the "opportunistic pathogen" framing in suppressing sixty years of integrated host-microbe inquiry. The 2022 World Health Organization fungal priority pathogens list, sixty years after the symposium, is interpreted not as a data gap but as an institutional attention gap with measurable consequences for research funding, clinical education, and patient outcomes.</w:t>
      </w:r>
    </w:p>
    <w:p w14:paraId="0C2EB145" w14:textId="77777777" w:rsidR="0079565C" w:rsidRDefault="00000000">
      <w:pPr>
        <w:spacing w:after="180" w:line="300" w:lineRule="auto"/>
      </w:pPr>
      <w:r>
        <w:t xml:space="preserve">C. </w:t>
      </w:r>
      <w:proofErr w:type="gramStart"/>
      <w:r>
        <w:t>albicans</w:t>
      </w:r>
      <w:proofErr w:type="gramEnd"/>
      <w:r>
        <w:t xml:space="preserve"> is a unique symbiont that creates evolutionary pressures on all mammals. It is uniquely integrated into our system. Science should step back and re-evaluate everything we assume to be true about biology.</w:t>
      </w:r>
    </w:p>
    <w:p w14:paraId="76534867" w14:textId="77777777" w:rsidR="0079565C" w:rsidRDefault="0079565C">
      <w:pPr>
        <w:pBdr>
          <w:bottom w:val="single" w:sz="6" w:space="1" w:color="999999"/>
        </w:pBdr>
        <w:spacing w:before="240" w:after="240"/>
      </w:pPr>
    </w:p>
    <w:p w14:paraId="740D9B4A" w14:textId="77777777" w:rsidR="0079565C" w:rsidRDefault="00000000">
      <w:pPr>
        <w:pStyle w:val="Heading1"/>
      </w:pPr>
      <w:r>
        <w:t>12. Acute Hemodynamic Decompensation Following Routine Phlebotomy — A Five-Week Longitudinal Provocation Sequence</w:t>
      </w:r>
    </w:p>
    <w:p w14:paraId="490B5A19" w14:textId="77777777" w:rsidR="0079565C" w:rsidRDefault="00000000">
      <w:pPr>
        <w:spacing w:after="240"/>
      </w:pPr>
      <w:r>
        <w:rPr>
          <w:b/>
          <w:bCs/>
        </w:rPr>
        <w:t xml:space="preserve">DOI: </w:t>
      </w:r>
      <w:hyperlink r:id="rId20" w:history="1">
        <w:r>
          <w:rPr>
            <w:rStyle w:val="Hyperlink"/>
          </w:rPr>
          <w:t>10.5281/zenodo.19462704</w:t>
        </w:r>
      </w:hyperlink>
    </w:p>
    <w:p w14:paraId="538C406E" w14:textId="77777777" w:rsidR="0079565C" w:rsidRDefault="00000000">
      <w:pPr>
        <w:pStyle w:val="Heading2"/>
      </w:pPr>
      <w:r>
        <w:t>Summary for the Reader from the Architect</w:t>
      </w:r>
    </w:p>
    <w:p w14:paraId="4690A383" w14:textId="77777777" w:rsidR="0079565C" w:rsidRDefault="00000000">
      <w:pPr>
        <w:spacing w:after="180" w:line="300" w:lineRule="auto"/>
      </w:pPr>
      <w:r>
        <w:t xml:space="preserve">This is the case report from 2018. The patient is me. </w:t>
      </w:r>
      <w:r>
        <w:rPr>
          <w:i/>
          <w:iCs/>
        </w:rPr>
        <w:t>[I'm the author and I'm the test subject. That's the point of the whole series.]</w:t>
      </w:r>
    </w:p>
    <w:p w14:paraId="35DDB37B" w14:textId="77777777" w:rsidR="0079565C" w:rsidRDefault="00000000">
      <w:pPr>
        <w:spacing w:after="180" w:line="300" w:lineRule="auto"/>
      </w:pPr>
      <w:r>
        <w:t xml:space="preserve">A 48-year-old male with documented chronic volume dysregulation and suspected endocrine axis disruption walks into a blood bank and donates a pint of whole blood — on purpose, as a self-administered provocation test. </w:t>
      </w:r>
      <w:r>
        <w:rPr>
          <w:i/>
          <w:iCs/>
        </w:rPr>
        <w:t xml:space="preserve">[A provocation test in medicine </w:t>
      </w:r>
      <w:proofErr w:type="gramStart"/>
      <w:r>
        <w:rPr>
          <w:i/>
          <w:iCs/>
        </w:rPr>
        <w:t>means:</w:t>
      </w:r>
      <w:proofErr w:type="gramEnd"/>
      <w:r>
        <w:rPr>
          <w:i/>
          <w:iCs/>
        </w:rPr>
        <w:t xml:space="preserve"> perturb the system on purpose to see how it responds. Doctors do them all the time. The difference here is I ran one on myself, knowing my body doesn't process volume change normally, to document the response.]</w:t>
      </w:r>
    </w:p>
    <w:p w14:paraId="153B35D3" w14:textId="77777777" w:rsidR="0079565C" w:rsidRDefault="00000000">
      <w:pPr>
        <w:spacing w:after="180" w:line="300" w:lineRule="auto"/>
      </w:pPr>
      <w:r>
        <w:t xml:space="preserve">What happens next is a five-week sequence of cascading failures, each one timed and </w:t>
      </w:r>
      <w:proofErr w:type="spellStart"/>
      <w:r>
        <w:t>labbed</w:t>
      </w:r>
      <w:proofErr w:type="spellEnd"/>
      <w:r>
        <w:t xml:space="preserve">. Within 24–48 hours: a transient hypercortisolemic state </w:t>
      </w:r>
      <w:r>
        <w:rPr>
          <w:i/>
          <w:iCs/>
        </w:rPr>
        <w:t>[a flood of cortisol, the stress hormone — subjectively felt as mania]</w:t>
      </w:r>
      <w:r>
        <w:t xml:space="preserve">. Day 3: acute vestibular failure </w:t>
      </w:r>
      <w:r>
        <w:rPr>
          <w:i/>
          <w:iCs/>
        </w:rPr>
        <w:t>[the balance system shut down]</w:t>
      </w:r>
      <w:r>
        <w:t xml:space="preserve">. Four weeks of persistent nausea and orthostatic symptoms </w:t>
      </w:r>
      <w:r>
        <w:rPr>
          <w:i/>
          <w:iCs/>
        </w:rPr>
        <w:t xml:space="preserve">[blood pressure dropping on standing up, </w:t>
      </w:r>
      <w:proofErr w:type="gramStart"/>
      <w:r>
        <w:rPr>
          <w:i/>
          <w:iCs/>
        </w:rPr>
        <w:t>over and over</w:t>
      </w:r>
      <w:proofErr w:type="gramEnd"/>
      <w:r>
        <w:rPr>
          <w:i/>
          <w:iCs/>
        </w:rPr>
        <w:t>]</w:t>
      </w:r>
      <w:r>
        <w:t xml:space="preserve">. Day 34: near-syncopal collapse </w:t>
      </w:r>
      <w:r>
        <w:rPr>
          <w:i/>
          <w:iCs/>
        </w:rPr>
        <w:t>[almost-fainting]</w:t>
      </w:r>
      <w:r>
        <w:t xml:space="preserve"> triggered by THC-induced vasodilation </w:t>
      </w:r>
      <w:r>
        <w:rPr>
          <w:i/>
          <w:iCs/>
        </w:rPr>
        <w:t>[cannabis dropped the blood pressure further; the system couldn't compensate]</w:t>
      </w:r>
      <w:r>
        <w:t>.</w:t>
      </w:r>
    </w:p>
    <w:p w14:paraId="1B8CA5B6" w14:textId="77777777" w:rsidR="0079565C" w:rsidRDefault="00000000">
      <w:pPr>
        <w:spacing w:after="180" w:line="300" w:lineRule="auto"/>
      </w:pPr>
      <w:r>
        <w:t xml:space="preserve">Here is the part no clinician believed: throughout the collapse, I remained fully conscious at a blood pressure of 90/54 mmHg, </w:t>
      </w:r>
      <w:r>
        <w:rPr>
          <w:i/>
          <w:iCs/>
        </w:rPr>
        <w:t>after</w:t>
      </w:r>
      <w:r>
        <w:t xml:space="preserve"> IV saline resuscitation. </w:t>
      </w:r>
      <w:r>
        <w:rPr>
          <w:i/>
          <w:iCs/>
        </w:rPr>
        <w:t>[90/54 is low enough that most people are either unconscious or very close to it. I was awake, oriented, taking notes.]</w:t>
      </w:r>
    </w:p>
    <w:p w14:paraId="7DBE0A95" w14:textId="77777777" w:rsidR="0079565C" w:rsidRDefault="00000000">
      <w:pPr>
        <w:spacing w:after="180" w:line="300" w:lineRule="auto"/>
      </w:pPr>
      <w:r>
        <w:t xml:space="preserve">The labs tell a consistent story of a system operating outside standard physiological parameters: prerenal azotemia (BUN 27), borderline hypokalemia (K 3.5), maximally concentrated urine (specific gravity 1.033), venous alkalosis (pH 7.44), complete suppression of eosinophils and basophils </w:t>
      </w:r>
      <w:r>
        <w:rPr>
          <w:i/>
          <w:iCs/>
        </w:rPr>
        <w:t>[two types of white blood cell — both hit zero, which is not normal]</w:t>
      </w:r>
      <w:r>
        <w:t xml:space="preserve">, and urine sodium of 203 mmol/L. </w:t>
      </w:r>
      <w:r>
        <w:rPr>
          <w:i/>
          <w:iCs/>
        </w:rPr>
        <w:t>[That last one is the smoking gun: massive renal sodium wasting — dumping salt out in the urine — while clinically volume-depleted. The kidney was doing the opposite of what textbook physiology says it should.]</w:t>
      </w:r>
    </w:p>
    <w:p w14:paraId="7EA903AA" w14:textId="77777777" w:rsidR="0079565C" w:rsidRDefault="00000000">
      <w:pPr>
        <w:spacing w:after="180" w:line="300" w:lineRule="auto"/>
      </w:pPr>
      <w:r>
        <w:t xml:space="preserve">The longitudinal endocrine data from 2010 to 2026 show stable cortisol against declining aldosterone, with a volatile intermediate value of 1.5 ng/dL two weeks before the crisis — suggesting selective adrenal output preservation independent of the renin-angiotensin system. </w:t>
      </w:r>
      <w:r>
        <w:rPr>
          <w:i/>
          <w:iCs/>
        </w:rPr>
        <w:t>[Translation: one half of the adrenal gland was still working. The other half was being managed separately, by something that wasn't the standard feedback loop.]</w:t>
      </w:r>
    </w:p>
    <w:p w14:paraId="34FE959B" w14:textId="77777777" w:rsidR="0079565C" w:rsidRDefault="00000000">
      <w:pPr>
        <w:spacing w:after="180" w:line="300" w:lineRule="auto"/>
      </w:pPr>
      <w:r>
        <w:lastRenderedPageBreak/>
        <w:t xml:space="preserve">All cardiac and structural workups were negative. All of them. </w:t>
      </w:r>
      <w:r>
        <w:rPr>
          <w:i/>
          <w:iCs/>
        </w:rPr>
        <w:t>[The standard diagnostic battery returned no findings. That is the recurring signal across this whole case series — the machinery fails and the machinery tests come back clean, because the machinery is running under remote management and the tests are designed to miss it. Why ARE the tests designed to miss it? Who could accomplish that?]</w:t>
      </w:r>
    </w:p>
    <w:p w14:paraId="25BE3719" w14:textId="77777777" w:rsidR="0079565C" w:rsidRDefault="00000000">
      <w:pPr>
        <w:pStyle w:val="Heading2"/>
      </w:pPr>
      <w:r>
        <w:t>Abstract</w:t>
      </w:r>
    </w:p>
    <w:p w14:paraId="0D54811E" w14:textId="77777777" w:rsidR="0079565C" w:rsidRDefault="00000000">
      <w:pPr>
        <w:spacing w:after="180" w:line="300" w:lineRule="auto"/>
      </w:pPr>
      <w:r>
        <w:t>A 48-year-old male (DOB 7/5/1969) with a documented history of chronic volume dysregulation and suspected endocrine axis disruption underwent routine whole blood donation as a self-initiated provocation test. Within 24–48 hours, the patient experienced a transient hypercortisolemic state (subjective mania), followed by acute vestibular failure on day three, persistent nausea and orthostatic symptoms over the subsequent four weeks, and a near-syncopal collapse on day 34 triggered by THC-induced vasodilation. Throughout the collapse event, the patient maintained full consciousness despite documented blood pressure of 90/54 mmHg post-saline resuscitation.</w:t>
      </w:r>
    </w:p>
    <w:p w14:paraId="7DEA16DD" w14:textId="77777777" w:rsidR="0079565C" w:rsidRDefault="00000000">
      <w:pPr>
        <w:spacing w:after="180" w:line="300" w:lineRule="auto"/>
      </w:pPr>
      <w:r>
        <w:t xml:space="preserve">Serial laboratory evaluation revealed prerenal azotemia (BUN 27 mg/dL), borderline hypokalemia (K 3.5 </w:t>
      </w:r>
      <w:proofErr w:type="spellStart"/>
      <w:r>
        <w:t>mEq</w:t>
      </w:r>
      <w:proofErr w:type="spellEnd"/>
      <w:r>
        <w:t>/L), maximally concentrated urine (SG 1.033), venous alkalosis (pH 7.44), complete suppression of eosinophils and basophils, and urine sodium of 203 mmol/L (massive renal sodium wasting despite volume depletion), while standard cardiac and structural workups returned negative.</w:t>
      </w:r>
    </w:p>
    <w:p w14:paraId="187C1A9E" w14:textId="77777777" w:rsidR="0079565C" w:rsidRDefault="00000000">
      <w:pPr>
        <w:spacing w:after="180" w:line="300" w:lineRule="auto"/>
      </w:pPr>
      <w:r>
        <w:t xml:space="preserve">Longitudinal endocrine data spanning 2010 to 2026 demonstrate stable cortisol (10.3–13.2 mcg/dL) against declining aldosterone (6.5 to 4.0 ng/dL) with volatile intermediate values (1.5 ng/dL two weeks prior to the crisis), suggesting selective adrenal output preservation independent of the renin-angiotensin system. This case documents a complete provocation-response sequence with timed clinical and laboratory endpoints in a patient whose hemodynamic architecture operates outside standard physiological parameters. </w:t>
      </w:r>
      <w:r>
        <w:rPr>
          <w:i/>
          <w:iCs/>
        </w:rPr>
        <w:t>[A note from The Architect: All PDFs of these labs and more are at jimcraddock.com]</w:t>
      </w:r>
    </w:p>
    <w:p w14:paraId="6C15DC76" w14:textId="77777777" w:rsidR="0079565C" w:rsidRDefault="0079565C">
      <w:pPr>
        <w:pBdr>
          <w:bottom w:val="single" w:sz="6" w:space="1" w:color="999999"/>
        </w:pBdr>
        <w:spacing w:before="240" w:after="240"/>
      </w:pPr>
    </w:p>
    <w:p w14:paraId="1DB79C7F" w14:textId="77777777" w:rsidR="0079565C" w:rsidRDefault="00000000">
      <w:pPr>
        <w:pStyle w:val="Heading1"/>
      </w:pPr>
      <w:r>
        <w:t>13. Phase 5 of a 31-Year Managed Symbiont Progression — A Longitudinal Case Study</w:t>
      </w:r>
    </w:p>
    <w:p w14:paraId="27FB70E8" w14:textId="77777777" w:rsidR="0079565C" w:rsidRDefault="00000000">
      <w:pPr>
        <w:spacing w:after="240"/>
      </w:pPr>
      <w:r>
        <w:rPr>
          <w:b/>
          <w:bCs/>
        </w:rPr>
        <w:t xml:space="preserve">DOI: </w:t>
      </w:r>
      <w:hyperlink r:id="rId21" w:history="1">
        <w:r>
          <w:rPr>
            <w:rStyle w:val="Hyperlink"/>
          </w:rPr>
          <w:t>10.5281/zenodo.19560800</w:t>
        </w:r>
      </w:hyperlink>
    </w:p>
    <w:p w14:paraId="742733AB" w14:textId="77777777" w:rsidR="0079565C" w:rsidRDefault="00000000">
      <w:pPr>
        <w:pStyle w:val="Heading2"/>
      </w:pPr>
      <w:r>
        <w:t>Summary for the Reader from the Architect</w:t>
      </w:r>
    </w:p>
    <w:p w14:paraId="1EF61A97" w14:textId="77777777" w:rsidR="0079565C" w:rsidRDefault="00000000">
      <w:pPr>
        <w:spacing w:after="180" w:line="300" w:lineRule="auto"/>
      </w:pPr>
      <w:r>
        <w:t xml:space="preserve">This is the paper where the case becomes </w:t>
      </w:r>
      <w:proofErr w:type="gramStart"/>
      <w:r>
        <w:t>the proof</w:t>
      </w:r>
      <w:proofErr w:type="gramEnd"/>
      <w:r>
        <w:t>.</w:t>
      </w:r>
    </w:p>
    <w:p w14:paraId="6266C2E2" w14:textId="77777777" w:rsidR="0079565C" w:rsidRDefault="00000000">
      <w:pPr>
        <w:spacing w:after="180" w:line="300" w:lineRule="auto"/>
      </w:pPr>
      <w:r>
        <w:t xml:space="preserve">From January 2022 to April 2026 — that's the window this paper covers, Phase 5 of a 31-year documented progression. </w:t>
      </w:r>
      <w:r>
        <w:rPr>
          <w:i/>
          <w:iCs/>
        </w:rPr>
        <w:t xml:space="preserve">[Phases 1 through 4 are documented across earlier materials at jimcraddock.com and in the 2018 blood donation case report. Phase 5 is the most recent, most extreme, </w:t>
      </w:r>
      <w:r>
        <w:rPr>
          <w:i/>
          <w:iCs/>
        </w:rPr>
        <w:lastRenderedPageBreak/>
        <w:t>and best-</w:t>
      </w:r>
      <w:proofErr w:type="spellStart"/>
      <w:r>
        <w:rPr>
          <w:i/>
          <w:iCs/>
        </w:rPr>
        <w:t>labbed</w:t>
      </w:r>
      <w:proofErr w:type="spellEnd"/>
      <w:r>
        <w:rPr>
          <w:i/>
          <w:iCs/>
        </w:rPr>
        <w:t xml:space="preserve"> of them all.]</w:t>
      </w:r>
      <w:r>
        <w:t xml:space="preserve"> Over 80 diagnostic tests returned normal results while the subject </w:t>
      </w:r>
      <w:r>
        <w:rPr>
          <w:i/>
          <w:iCs/>
        </w:rPr>
        <w:t>[me, again — author and subject are the same individual across this entire series, and that is the whole design]</w:t>
      </w:r>
      <w:r>
        <w:t xml:space="preserve"> experienced organ-by-organ vascular disconnection, volume depletion, metabolic pathway substitution, and structural tissue consumption. All of it </w:t>
      </w:r>
      <w:proofErr w:type="gramStart"/>
      <w:r>
        <w:t>invisible</w:t>
      </w:r>
      <w:proofErr w:type="gramEnd"/>
      <w:r>
        <w:t xml:space="preserve"> to standard medicine. </w:t>
      </w:r>
      <w:r>
        <w:rPr>
          <w:i/>
          <w:iCs/>
        </w:rPr>
        <w:t xml:space="preserve">[Normal labs. Abnormal everything else. That gap — between what the labs say and what's </w:t>
      </w:r>
      <w:proofErr w:type="gramStart"/>
      <w:r>
        <w:rPr>
          <w:i/>
          <w:iCs/>
        </w:rPr>
        <w:t>actually happening</w:t>
      </w:r>
      <w:proofErr w:type="gramEnd"/>
      <w:r>
        <w:rPr>
          <w:i/>
          <w:iCs/>
        </w:rPr>
        <w:t xml:space="preserve"> — is the entire point. The modern diagnostic framework is not equipped to see what's happening here.]</w:t>
      </w:r>
    </w:p>
    <w:p w14:paraId="1B4F4281" w14:textId="77777777" w:rsidR="0079565C" w:rsidRDefault="00000000">
      <w:pPr>
        <w:spacing w:after="180" w:line="300" w:lineRule="auto"/>
      </w:pPr>
      <w:r>
        <w:t>The paper presents contemporaneous labs, imaging, daily logs, and self-directed urinalysis spanning the four-year window. Some of the findings are striking on their own, before any framework is applied:</w:t>
      </w:r>
    </w:p>
    <w:p w14:paraId="4AB6FFA4" w14:textId="77777777" w:rsidR="0079565C" w:rsidRDefault="00000000">
      <w:pPr>
        <w:spacing w:after="180" w:line="300" w:lineRule="auto"/>
      </w:pPr>
      <w:r>
        <w:t>• *</w:t>
      </w:r>
      <w:r>
        <w:rPr>
          <w:i/>
          <w:iCs/>
        </w:rPr>
        <w:t xml:space="preserve">The dual-circulation oxygen </w:t>
      </w:r>
      <w:proofErr w:type="gramStart"/>
      <w:r>
        <w:rPr>
          <w:i/>
          <w:iCs/>
        </w:rPr>
        <w:t>paradox</w:t>
      </w:r>
      <w:r>
        <w:t>* —</w:t>
      </w:r>
      <w:proofErr w:type="gramEnd"/>
      <w:r>
        <w:t xml:space="preserve"> venous O2 saturation of 66% versus pulse oximetry of 100%. </w:t>
      </w:r>
      <w:r>
        <w:rPr>
          <w:i/>
          <w:iCs/>
        </w:rPr>
        <w:t xml:space="preserve">[Pulse ox is what the clip on your finger reads at a doctor's visit — it measures oxygen in your peripheral arteries. Venous O2 is measured in a blood </w:t>
      </w:r>
      <w:proofErr w:type="gramStart"/>
      <w:r>
        <w:rPr>
          <w:i/>
          <w:iCs/>
        </w:rPr>
        <w:t>draw</w:t>
      </w:r>
      <w:proofErr w:type="gramEnd"/>
      <w:r>
        <w:rPr>
          <w:i/>
          <w:iCs/>
        </w:rPr>
        <w:t xml:space="preserve"> from a vein. Normally the two are linked. Here they disconnected. The periphery was saturated with oxygen it wasn't using; the venous return was depleted.]</w:t>
      </w:r>
    </w:p>
    <w:p w14:paraId="697A19EE" w14:textId="77777777" w:rsidR="0079565C" w:rsidRDefault="00000000">
      <w:pPr>
        <w:spacing w:after="180" w:line="300" w:lineRule="auto"/>
      </w:pPr>
      <w:r>
        <w:t>• *</w:t>
      </w:r>
      <w:r>
        <w:rPr>
          <w:i/>
          <w:iCs/>
        </w:rPr>
        <w:t xml:space="preserve">Extreme pain tolerance with no outward </w:t>
      </w:r>
      <w:proofErr w:type="gramStart"/>
      <w:r>
        <w:rPr>
          <w:i/>
          <w:iCs/>
        </w:rPr>
        <w:t>signs</w:t>
      </w:r>
      <w:r>
        <w:t>* —</w:t>
      </w:r>
      <w:proofErr w:type="gramEnd"/>
      <w:r>
        <w:t xml:space="preserve"> clinical events that would have other patients doubled over and visibly distressed, occurring with no facial expression, no verbal complaint, no observable behavioral marker. </w:t>
      </w:r>
      <w:r>
        <w:rPr>
          <w:i/>
          <w:iCs/>
        </w:rPr>
        <w:t>[Not stoicism. Something in the signaling layer is intercepting the pain before it produces the usual presentation.]</w:t>
      </w:r>
    </w:p>
    <w:p w14:paraId="0C41BA1F" w14:textId="77777777" w:rsidR="0079565C" w:rsidRDefault="00000000">
      <w:pPr>
        <w:spacing w:after="180" w:line="300" w:lineRule="auto"/>
      </w:pPr>
      <w:r>
        <w:t>• *</w:t>
      </w:r>
      <w:r>
        <w:rPr>
          <w:i/>
          <w:iCs/>
        </w:rPr>
        <w:t xml:space="preserve">Multiple falsifiable </w:t>
      </w:r>
      <w:proofErr w:type="gramStart"/>
      <w:r>
        <w:rPr>
          <w:i/>
          <w:iCs/>
        </w:rPr>
        <w:t>predictions</w:t>
      </w:r>
      <w:r>
        <w:t>* —</w:t>
      </w:r>
      <w:proofErr w:type="gramEnd"/>
      <w:r>
        <w:t xml:space="preserve"> the paper doesn't just describe what happened, it predicts what should happen next under various conditions and names the tests that would confirm or refute each one.</w:t>
      </w:r>
    </w:p>
    <w:p w14:paraId="508DF800" w14:textId="77777777" w:rsidR="0079565C" w:rsidRDefault="00000000">
      <w:pPr>
        <w:spacing w:after="180" w:line="300" w:lineRule="auto"/>
      </w:pPr>
      <w:r>
        <w:t xml:space="preserve">The paper's thesis is direct: Candida albicans operates as a distributed biochemical computer capable of profound host regulation, the Homo candidus phenotype exists, it can be managed even when every conventional diagnostic framework fails — and here is the physical evidence, with timestamps and lab values attached. </w:t>
      </w:r>
      <w:r>
        <w:rPr>
          <w:i/>
          <w:iCs/>
        </w:rPr>
        <w:t>[Not theory. Not speculation. Four years of documented state evolution in a single subject, cross-referenced against the framework, with imaging and labs attached to every major event.]</w:t>
      </w:r>
    </w:p>
    <w:p w14:paraId="716FEF70" w14:textId="77777777" w:rsidR="0079565C" w:rsidRDefault="00000000">
      <w:pPr>
        <w:pStyle w:val="Heading2"/>
      </w:pPr>
      <w:r>
        <w:t>Abstract</w:t>
      </w:r>
    </w:p>
    <w:p w14:paraId="6E419AEA" w14:textId="77777777" w:rsidR="0079565C" w:rsidRDefault="00000000">
      <w:pPr>
        <w:spacing w:after="180" w:line="300" w:lineRule="auto"/>
      </w:pPr>
      <w:r>
        <w:t>This paper documents the final documented stage (January 2022–April 2026) of a 31-year progressive condition in a single subject. Over 80 diagnostic tests returned normal results while the subject experienced organ-by-organ vascular disconnection, volume depletion, metabolic pathway substitution, and structural tissue consumption — all invisible to standard medicine.</w:t>
      </w:r>
    </w:p>
    <w:p w14:paraId="65E0ED54" w14:textId="77777777" w:rsidR="0079565C" w:rsidRDefault="00000000">
      <w:pPr>
        <w:spacing w:after="180" w:line="300" w:lineRule="auto"/>
      </w:pPr>
      <w:r>
        <w:t>Presented with contemporaneous labs, imaging, daily logs, and self-directed urinalysis, the record demonstrates that Candida albicans operates as a distributed biochemical computer capable of profound host regulation. Includes the dual-circulation oxygen paradox (venous O2 sat 66% vs. pulse oximetry 100%), extreme pain tolerance with no outward signs, and multiple falsifiable predictions.</w:t>
      </w:r>
    </w:p>
    <w:p w14:paraId="00FDA622" w14:textId="77777777" w:rsidR="0079565C" w:rsidRDefault="00000000">
      <w:pPr>
        <w:spacing w:after="180" w:line="300" w:lineRule="auto"/>
      </w:pPr>
      <w:r>
        <w:lastRenderedPageBreak/>
        <w:t>The subject and author are the same individual. This is not theory — it is the physical evidence that the Homo candidus phenotype exists and can be managed, even when every conventional diagnostic framework fails.</w:t>
      </w:r>
    </w:p>
    <w:p w14:paraId="1DDB0812" w14:textId="77777777" w:rsidR="0079565C" w:rsidRDefault="0079565C">
      <w:pPr>
        <w:pBdr>
          <w:bottom w:val="single" w:sz="6" w:space="1" w:color="999999"/>
        </w:pBdr>
        <w:spacing w:before="240" w:after="240"/>
      </w:pPr>
    </w:p>
    <w:p w14:paraId="76D16A56" w14:textId="77777777" w:rsidR="0079565C" w:rsidRDefault="0079565C">
      <w:pPr>
        <w:pBdr>
          <w:bottom w:val="single" w:sz="12" w:space="1" w:color="666666"/>
        </w:pBdr>
        <w:spacing w:before="480" w:after="240"/>
      </w:pPr>
    </w:p>
    <w:p w14:paraId="5AE95BBD" w14:textId="77777777" w:rsidR="0079565C" w:rsidRDefault="00000000">
      <w:pPr>
        <w:pStyle w:val="Heading1"/>
        <w:spacing w:before="240" w:after="240"/>
        <w:jc w:val="center"/>
      </w:pPr>
      <w:r>
        <w:t>Closing</w:t>
      </w:r>
    </w:p>
    <w:p w14:paraId="457158DF" w14:textId="77777777" w:rsidR="0079565C" w:rsidRDefault="00000000">
      <w:pPr>
        <w:spacing w:after="180" w:line="300" w:lineRule="auto"/>
        <w:jc w:val="center"/>
      </w:pPr>
      <w:r>
        <w:t>The redaction 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This author has seen the original science — it exists.</w:t>
      </w:r>
    </w:p>
    <w:p w14:paraId="286B3C7A" w14:textId="77777777" w:rsidR="0079565C" w:rsidRDefault="00000000">
      <w:pPr>
        <w:spacing w:after="180" w:line="300" w:lineRule="auto"/>
        <w:jc w:val="center"/>
      </w:pPr>
      <w:r>
        <w:t>Thus, this author is content to leave the issues to the verdict of history.</w:t>
      </w:r>
    </w:p>
    <w:p w14:paraId="34FBE984" w14:textId="77777777" w:rsidR="0079565C" w:rsidRDefault="00000000">
      <w:pPr>
        <w:pBdr>
          <w:top w:val="single" w:sz="6" w:space="12" w:color="999999"/>
        </w:pBdr>
        <w:spacing w:before="480" w:after="120"/>
        <w:jc w:val="center"/>
      </w:pPr>
      <w:r>
        <w:rPr>
          <w:b/>
          <w:bCs/>
          <w:i/>
          <w:iCs/>
          <w:sz w:val="26"/>
          <w:szCs w:val="26"/>
        </w:rPr>
        <w:t>A Note from The Architect</w:t>
      </w:r>
    </w:p>
    <w:p w14:paraId="3F3A3496" w14:textId="77777777" w:rsidR="0079565C" w:rsidRDefault="00000000">
      <w:pPr>
        <w:spacing w:before="240" w:after="480"/>
        <w:jc w:val="center"/>
      </w:pPr>
      <w:r>
        <w:rPr>
          <w:i/>
          <w:iCs/>
          <w:sz w:val="24"/>
          <w:szCs w:val="24"/>
        </w:rPr>
        <w:t>I hope this helps.</w:t>
      </w:r>
    </w:p>
    <w:sectPr w:rsidR="0079565C">
      <w:footerReference w:type="default" r:id="rId2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276A" w14:textId="77777777" w:rsidR="008D1244" w:rsidRDefault="008D1244" w:rsidP="00303623">
      <w:r>
        <w:separator/>
      </w:r>
    </w:p>
  </w:endnote>
  <w:endnote w:type="continuationSeparator" w:id="0">
    <w:p w14:paraId="4A42CA69" w14:textId="77777777" w:rsidR="008D1244" w:rsidRDefault="008D1244" w:rsidP="0030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E5DF" w14:textId="08809715" w:rsidR="00303623" w:rsidRDefault="00303623">
    <w:pPr>
      <w:pStyle w:val="Footer"/>
    </w:pPr>
    <w:r>
      <w:t>Jim Craddock</w:t>
    </w:r>
    <w:r>
      <w:ptab w:relativeTo="margin" w:alignment="center" w:leader="none"/>
    </w:r>
    <w:hyperlink r:id="rId1" w:history="1">
      <w:r w:rsidRPr="00303623">
        <w:rPr>
          <w:rStyle w:val="Hyperlink"/>
        </w:rPr>
        <w:t>www.redactedscience.org</w:t>
      </w:r>
    </w:hyperlink>
    <w:r>
      <w:ptab w:relativeTo="margin" w:alignment="right" w:leader="none"/>
    </w:r>
    <w:sdt>
      <w:sdtPr>
        <w:id w:val="-3750127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826E4" w14:textId="77777777" w:rsidR="008D1244" w:rsidRDefault="008D1244" w:rsidP="00303623">
      <w:r>
        <w:separator/>
      </w:r>
    </w:p>
  </w:footnote>
  <w:footnote w:type="continuationSeparator" w:id="0">
    <w:p w14:paraId="72660359" w14:textId="77777777" w:rsidR="008D1244" w:rsidRDefault="008D1244" w:rsidP="0030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448A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78F5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5847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DE8C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E2FA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25D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70D9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8812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2E5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0E56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7326400"/>
    <w:multiLevelType w:val="hybridMultilevel"/>
    <w:tmpl w:val="1F36D77A"/>
    <w:lvl w:ilvl="0" w:tplc="1256B104">
      <w:start w:val="1"/>
      <w:numFmt w:val="bullet"/>
      <w:lvlText w:val="●"/>
      <w:lvlJc w:val="left"/>
      <w:pPr>
        <w:ind w:left="720" w:hanging="360"/>
      </w:pPr>
    </w:lvl>
    <w:lvl w:ilvl="1" w:tplc="5BECEB5E">
      <w:start w:val="1"/>
      <w:numFmt w:val="bullet"/>
      <w:lvlText w:val="○"/>
      <w:lvlJc w:val="left"/>
      <w:pPr>
        <w:ind w:left="1440" w:hanging="360"/>
      </w:pPr>
    </w:lvl>
    <w:lvl w:ilvl="2" w:tplc="0F9C1A3E">
      <w:start w:val="1"/>
      <w:numFmt w:val="bullet"/>
      <w:lvlText w:val="■"/>
      <w:lvlJc w:val="left"/>
      <w:pPr>
        <w:ind w:left="2160" w:hanging="360"/>
      </w:pPr>
    </w:lvl>
    <w:lvl w:ilvl="3" w:tplc="2ACAE018">
      <w:start w:val="1"/>
      <w:numFmt w:val="bullet"/>
      <w:lvlText w:val="●"/>
      <w:lvlJc w:val="left"/>
      <w:pPr>
        <w:ind w:left="2880" w:hanging="360"/>
      </w:pPr>
    </w:lvl>
    <w:lvl w:ilvl="4" w:tplc="B748F896">
      <w:start w:val="1"/>
      <w:numFmt w:val="bullet"/>
      <w:lvlText w:val="○"/>
      <w:lvlJc w:val="left"/>
      <w:pPr>
        <w:ind w:left="3600" w:hanging="360"/>
      </w:pPr>
    </w:lvl>
    <w:lvl w:ilvl="5" w:tplc="4BA4686A">
      <w:start w:val="1"/>
      <w:numFmt w:val="bullet"/>
      <w:lvlText w:val="■"/>
      <w:lvlJc w:val="left"/>
      <w:pPr>
        <w:ind w:left="4320" w:hanging="360"/>
      </w:pPr>
    </w:lvl>
    <w:lvl w:ilvl="6" w:tplc="3FB0A92A">
      <w:start w:val="1"/>
      <w:numFmt w:val="bullet"/>
      <w:lvlText w:val="●"/>
      <w:lvlJc w:val="left"/>
      <w:pPr>
        <w:ind w:left="5040" w:hanging="360"/>
      </w:pPr>
    </w:lvl>
    <w:lvl w:ilvl="7" w:tplc="497EC35A">
      <w:start w:val="1"/>
      <w:numFmt w:val="bullet"/>
      <w:lvlText w:val="●"/>
      <w:lvlJc w:val="left"/>
      <w:pPr>
        <w:ind w:left="5760" w:hanging="360"/>
      </w:pPr>
    </w:lvl>
    <w:lvl w:ilvl="8" w:tplc="FA622EDC">
      <w:start w:val="1"/>
      <w:numFmt w:val="bullet"/>
      <w:lvlText w:val="●"/>
      <w:lvlJc w:val="left"/>
      <w:pPr>
        <w:ind w:left="6480" w:hanging="360"/>
      </w:pPr>
    </w:lvl>
  </w:abstractNum>
  <w:num w:numId="1" w16cid:durableId="1209948314">
    <w:abstractNumId w:val="10"/>
    <w:lvlOverride w:ilvl="0">
      <w:startOverride w:val="1"/>
    </w:lvlOverride>
  </w:num>
  <w:num w:numId="2" w16cid:durableId="56518695">
    <w:abstractNumId w:val="9"/>
  </w:num>
  <w:num w:numId="3" w16cid:durableId="587546684">
    <w:abstractNumId w:val="7"/>
  </w:num>
  <w:num w:numId="4" w16cid:durableId="1863934897">
    <w:abstractNumId w:val="6"/>
  </w:num>
  <w:num w:numId="5" w16cid:durableId="1713529412">
    <w:abstractNumId w:val="5"/>
  </w:num>
  <w:num w:numId="6" w16cid:durableId="855002941">
    <w:abstractNumId w:val="4"/>
  </w:num>
  <w:num w:numId="7" w16cid:durableId="492332945">
    <w:abstractNumId w:val="8"/>
  </w:num>
  <w:num w:numId="8" w16cid:durableId="123888643">
    <w:abstractNumId w:val="3"/>
  </w:num>
  <w:num w:numId="9" w16cid:durableId="602080303">
    <w:abstractNumId w:val="2"/>
  </w:num>
  <w:num w:numId="10" w16cid:durableId="1234856012">
    <w:abstractNumId w:val="1"/>
  </w:num>
  <w:num w:numId="11" w16cid:durableId="84439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5C"/>
    <w:rsid w:val="001348AC"/>
    <w:rsid w:val="00303623"/>
    <w:rsid w:val="0079565C"/>
    <w:rsid w:val="008D1244"/>
    <w:rsid w:val="00A800E5"/>
    <w:rsid w:val="00E4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758C4"/>
  <w15:docId w15:val="{5C802FAB-C027-41F9-98D6-5C6DE602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303623"/>
    <w:pPr>
      <w:spacing w:before="360" w:after="180"/>
      <w:outlineLvl w:val="0"/>
    </w:pPr>
    <w:rPr>
      <w:b/>
      <w:bCs/>
      <w:color w:val="4C94D8" w:themeColor="text2" w:themeTint="80"/>
      <w:sz w:val="32"/>
      <w:szCs w:val="32"/>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semiHidden/>
    <w:unhideWhenUsed/>
    <w:qFormat/>
    <w:pPr>
      <w:spacing w:before="180" w:after="100"/>
      <w:outlineLvl w:val="2"/>
    </w:pPr>
    <w:rPr>
      <w:b/>
      <w:bCs/>
      <w:i/>
      <w:iCs/>
      <w:color w:val="2E75B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paragraph" w:styleId="Heading7">
    <w:name w:val="heading 7"/>
    <w:basedOn w:val="Normal"/>
    <w:next w:val="Normal"/>
    <w:link w:val="Heading7Char"/>
    <w:uiPriority w:val="9"/>
    <w:semiHidden/>
    <w:unhideWhenUsed/>
    <w:qFormat/>
    <w:rsid w:val="00E449ED"/>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E449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49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03623"/>
    <w:rPr>
      <w:color w:val="605E5C"/>
      <w:shd w:val="clear" w:color="auto" w:fill="E1DFDD"/>
    </w:rPr>
  </w:style>
  <w:style w:type="paragraph" w:styleId="Header">
    <w:name w:val="header"/>
    <w:basedOn w:val="Normal"/>
    <w:link w:val="HeaderChar"/>
    <w:uiPriority w:val="99"/>
    <w:unhideWhenUsed/>
    <w:rsid w:val="00303623"/>
    <w:pPr>
      <w:tabs>
        <w:tab w:val="center" w:pos="4680"/>
        <w:tab w:val="right" w:pos="9360"/>
      </w:tabs>
    </w:pPr>
  </w:style>
  <w:style w:type="character" w:customStyle="1" w:styleId="HeaderChar">
    <w:name w:val="Header Char"/>
    <w:basedOn w:val="DefaultParagraphFont"/>
    <w:link w:val="Header"/>
    <w:uiPriority w:val="99"/>
    <w:rsid w:val="00303623"/>
  </w:style>
  <w:style w:type="paragraph" w:styleId="Footer">
    <w:name w:val="footer"/>
    <w:basedOn w:val="Normal"/>
    <w:link w:val="FooterChar"/>
    <w:uiPriority w:val="99"/>
    <w:unhideWhenUsed/>
    <w:rsid w:val="00303623"/>
    <w:pPr>
      <w:tabs>
        <w:tab w:val="center" w:pos="4680"/>
        <w:tab w:val="right" w:pos="9360"/>
      </w:tabs>
    </w:pPr>
  </w:style>
  <w:style w:type="character" w:customStyle="1" w:styleId="FooterChar">
    <w:name w:val="Footer Char"/>
    <w:basedOn w:val="DefaultParagraphFont"/>
    <w:link w:val="Footer"/>
    <w:uiPriority w:val="99"/>
    <w:rsid w:val="00303623"/>
  </w:style>
  <w:style w:type="paragraph" w:styleId="BalloonText">
    <w:name w:val="Balloon Text"/>
    <w:basedOn w:val="Normal"/>
    <w:link w:val="BalloonTextChar"/>
    <w:uiPriority w:val="99"/>
    <w:semiHidden/>
    <w:unhideWhenUsed/>
    <w:rsid w:val="00E44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9ED"/>
    <w:rPr>
      <w:rFonts w:ascii="Segoe UI" w:hAnsi="Segoe UI" w:cs="Segoe UI"/>
      <w:sz w:val="18"/>
      <w:szCs w:val="18"/>
    </w:rPr>
  </w:style>
  <w:style w:type="paragraph" w:styleId="Bibliography">
    <w:name w:val="Bibliography"/>
    <w:basedOn w:val="Normal"/>
    <w:next w:val="Normal"/>
    <w:uiPriority w:val="37"/>
    <w:semiHidden/>
    <w:unhideWhenUsed/>
    <w:rsid w:val="00E449ED"/>
  </w:style>
  <w:style w:type="paragraph" w:styleId="BlockText">
    <w:name w:val="Block Text"/>
    <w:basedOn w:val="Normal"/>
    <w:uiPriority w:val="99"/>
    <w:semiHidden/>
    <w:unhideWhenUsed/>
    <w:rsid w:val="00E449E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E449ED"/>
    <w:pPr>
      <w:spacing w:after="120"/>
    </w:pPr>
  </w:style>
  <w:style w:type="character" w:customStyle="1" w:styleId="BodyTextChar">
    <w:name w:val="Body Text Char"/>
    <w:basedOn w:val="DefaultParagraphFont"/>
    <w:link w:val="BodyText"/>
    <w:uiPriority w:val="99"/>
    <w:semiHidden/>
    <w:rsid w:val="00E449ED"/>
  </w:style>
  <w:style w:type="paragraph" w:styleId="BodyText2">
    <w:name w:val="Body Text 2"/>
    <w:basedOn w:val="Normal"/>
    <w:link w:val="BodyText2Char"/>
    <w:uiPriority w:val="99"/>
    <w:semiHidden/>
    <w:unhideWhenUsed/>
    <w:rsid w:val="00E449ED"/>
    <w:pPr>
      <w:spacing w:after="120" w:line="480" w:lineRule="auto"/>
    </w:pPr>
  </w:style>
  <w:style w:type="character" w:customStyle="1" w:styleId="BodyText2Char">
    <w:name w:val="Body Text 2 Char"/>
    <w:basedOn w:val="DefaultParagraphFont"/>
    <w:link w:val="BodyText2"/>
    <w:uiPriority w:val="99"/>
    <w:semiHidden/>
    <w:rsid w:val="00E449ED"/>
  </w:style>
  <w:style w:type="paragraph" w:styleId="BodyText3">
    <w:name w:val="Body Text 3"/>
    <w:basedOn w:val="Normal"/>
    <w:link w:val="BodyText3Char"/>
    <w:uiPriority w:val="99"/>
    <w:semiHidden/>
    <w:unhideWhenUsed/>
    <w:rsid w:val="00E449ED"/>
    <w:pPr>
      <w:spacing w:after="120"/>
    </w:pPr>
    <w:rPr>
      <w:sz w:val="16"/>
      <w:szCs w:val="16"/>
    </w:rPr>
  </w:style>
  <w:style w:type="character" w:customStyle="1" w:styleId="BodyText3Char">
    <w:name w:val="Body Text 3 Char"/>
    <w:basedOn w:val="DefaultParagraphFont"/>
    <w:link w:val="BodyText3"/>
    <w:uiPriority w:val="99"/>
    <w:semiHidden/>
    <w:rsid w:val="00E449ED"/>
    <w:rPr>
      <w:sz w:val="16"/>
      <w:szCs w:val="16"/>
    </w:rPr>
  </w:style>
  <w:style w:type="paragraph" w:styleId="BodyTextFirstIndent">
    <w:name w:val="Body Text First Indent"/>
    <w:basedOn w:val="BodyText"/>
    <w:link w:val="BodyTextFirstIndentChar"/>
    <w:uiPriority w:val="99"/>
    <w:semiHidden/>
    <w:unhideWhenUsed/>
    <w:rsid w:val="00E449ED"/>
    <w:pPr>
      <w:spacing w:after="0"/>
      <w:ind w:firstLine="360"/>
    </w:pPr>
  </w:style>
  <w:style w:type="character" w:customStyle="1" w:styleId="BodyTextFirstIndentChar">
    <w:name w:val="Body Text First Indent Char"/>
    <w:basedOn w:val="BodyTextChar"/>
    <w:link w:val="BodyTextFirstIndent"/>
    <w:uiPriority w:val="99"/>
    <w:semiHidden/>
    <w:rsid w:val="00E449ED"/>
  </w:style>
  <w:style w:type="paragraph" w:styleId="BodyTextIndent">
    <w:name w:val="Body Text Indent"/>
    <w:basedOn w:val="Normal"/>
    <w:link w:val="BodyTextIndentChar"/>
    <w:uiPriority w:val="99"/>
    <w:semiHidden/>
    <w:unhideWhenUsed/>
    <w:rsid w:val="00E449ED"/>
    <w:pPr>
      <w:spacing w:after="120"/>
      <w:ind w:left="360"/>
    </w:pPr>
  </w:style>
  <w:style w:type="character" w:customStyle="1" w:styleId="BodyTextIndentChar">
    <w:name w:val="Body Text Indent Char"/>
    <w:basedOn w:val="DefaultParagraphFont"/>
    <w:link w:val="BodyTextIndent"/>
    <w:uiPriority w:val="99"/>
    <w:semiHidden/>
    <w:rsid w:val="00E449ED"/>
  </w:style>
  <w:style w:type="paragraph" w:styleId="BodyTextFirstIndent2">
    <w:name w:val="Body Text First Indent 2"/>
    <w:basedOn w:val="BodyTextIndent"/>
    <w:link w:val="BodyTextFirstIndent2Char"/>
    <w:uiPriority w:val="99"/>
    <w:semiHidden/>
    <w:unhideWhenUsed/>
    <w:rsid w:val="00E449ED"/>
    <w:pPr>
      <w:spacing w:after="0"/>
      <w:ind w:firstLine="360"/>
    </w:pPr>
  </w:style>
  <w:style w:type="character" w:customStyle="1" w:styleId="BodyTextFirstIndent2Char">
    <w:name w:val="Body Text First Indent 2 Char"/>
    <w:basedOn w:val="BodyTextIndentChar"/>
    <w:link w:val="BodyTextFirstIndent2"/>
    <w:uiPriority w:val="99"/>
    <w:semiHidden/>
    <w:rsid w:val="00E449ED"/>
  </w:style>
  <w:style w:type="paragraph" w:styleId="BodyTextIndent2">
    <w:name w:val="Body Text Indent 2"/>
    <w:basedOn w:val="Normal"/>
    <w:link w:val="BodyTextIndent2Char"/>
    <w:uiPriority w:val="99"/>
    <w:semiHidden/>
    <w:unhideWhenUsed/>
    <w:rsid w:val="00E449ED"/>
    <w:pPr>
      <w:spacing w:after="120" w:line="480" w:lineRule="auto"/>
      <w:ind w:left="360"/>
    </w:pPr>
  </w:style>
  <w:style w:type="character" w:customStyle="1" w:styleId="BodyTextIndent2Char">
    <w:name w:val="Body Text Indent 2 Char"/>
    <w:basedOn w:val="DefaultParagraphFont"/>
    <w:link w:val="BodyTextIndent2"/>
    <w:uiPriority w:val="99"/>
    <w:semiHidden/>
    <w:rsid w:val="00E449ED"/>
  </w:style>
  <w:style w:type="paragraph" w:styleId="BodyTextIndent3">
    <w:name w:val="Body Text Indent 3"/>
    <w:basedOn w:val="Normal"/>
    <w:link w:val="BodyTextIndent3Char"/>
    <w:uiPriority w:val="99"/>
    <w:semiHidden/>
    <w:unhideWhenUsed/>
    <w:rsid w:val="00E449E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49ED"/>
    <w:rPr>
      <w:sz w:val="16"/>
      <w:szCs w:val="16"/>
    </w:rPr>
  </w:style>
  <w:style w:type="paragraph" w:styleId="Caption">
    <w:name w:val="caption"/>
    <w:basedOn w:val="Normal"/>
    <w:next w:val="Normal"/>
    <w:uiPriority w:val="35"/>
    <w:semiHidden/>
    <w:unhideWhenUsed/>
    <w:qFormat/>
    <w:rsid w:val="00E449ED"/>
    <w:pPr>
      <w:spacing w:after="200"/>
    </w:pPr>
    <w:rPr>
      <w:i/>
      <w:iCs/>
      <w:color w:val="0E2841" w:themeColor="text2"/>
      <w:sz w:val="18"/>
      <w:szCs w:val="18"/>
    </w:rPr>
  </w:style>
  <w:style w:type="paragraph" w:styleId="Closing">
    <w:name w:val="Closing"/>
    <w:basedOn w:val="Normal"/>
    <w:link w:val="ClosingChar"/>
    <w:uiPriority w:val="99"/>
    <w:semiHidden/>
    <w:unhideWhenUsed/>
    <w:rsid w:val="00E449ED"/>
    <w:pPr>
      <w:ind w:left="4320"/>
    </w:pPr>
  </w:style>
  <w:style w:type="character" w:customStyle="1" w:styleId="ClosingChar">
    <w:name w:val="Closing Char"/>
    <w:basedOn w:val="DefaultParagraphFont"/>
    <w:link w:val="Closing"/>
    <w:uiPriority w:val="99"/>
    <w:semiHidden/>
    <w:rsid w:val="00E449ED"/>
  </w:style>
  <w:style w:type="paragraph" w:styleId="CommentText">
    <w:name w:val="annotation text"/>
    <w:basedOn w:val="Normal"/>
    <w:link w:val="CommentTextChar"/>
    <w:uiPriority w:val="99"/>
    <w:semiHidden/>
    <w:unhideWhenUsed/>
    <w:rsid w:val="00E449ED"/>
    <w:rPr>
      <w:sz w:val="20"/>
      <w:szCs w:val="20"/>
    </w:rPr>
  </w:style>
  <w:style w:type="character" w:customStyle="1" w:styleId="CommentTextChar">
    <w:name w:val="Comment Text Char"/>
    <w:basedOn w:val="DefaultParagraphFont"/>
    <w:link w:val="CommentText"/>
    <w:uiPriority w:val="99"/>
    <w:semiHidden/>
    <w:rsid w:val="00E449ED"/>
    <w:rPr>
      <w:sz w:val="20"/>
      <w:szCs w:val="20"/>
    </w:rPr>
  </w:style>
  <w:style w:type="paragraph" w:styleId="CommentSubject">
    <w:name w:val="annotation subject"/>
    <w:basedOn w:val="CommentText"/>
    <w:next w:val="CommentText"/>
    <w:link w:val="CommentSubjectChar"/>
    <w:uiPriority w:val="99"/>
    <w:semiHidden/>
    <w:unhideWhenUsed/>
    <w:rsid w:val="00E449ED"/>
    <w:rPr>
      <w:b/>
      <w:bCs/>
    </w:rPr>
  </w:style>
  <w:style w:type="character" w:customStyle="1" w:styleId="CommentSubjectChar">
    <w:name w:val="Comment Subject Char"/>
    <w:basedOn w:val="CommentTextChar"/>
    <w:link w:val="CommentSubject"/>
    <w:uiPriority w:val="99"/>
    <w:semiHidden/>
    <w:rsid w:val="00E449ED"/>
    <w:rPr>
      <w:b/>
      <w:bCs/>
      <w:sz w:val="20"/>
      <w:szCs w:val="20"/>
    </w:rPr>
  </w:style>
  <w:style w:type="paragraph" w:styleId="Date">
    <w:name w:val="Date"/>
    <w:basedOn w:val="Normal"/>
    <w:next w:val="Normal"/>
    <w:link w:val="DateChar"/>
    <w:uiPriority w:val="99"/>
    <w:semiHidden/>
    <w:unhideWhenUsed/>
    <w:rsid w:val="00E449ED"/>
  </w:style>
  <w:style w:type="character" w:customStyle="1" w:styleId="DateChar">
    <w:name w:val="Date Char"/>
    <w:basedOn w:val="DefaultParagraphFont"/>
    <w:link w:val="Date"/>
    <w:uiPriority w:val="99"/>
    <w:semiHidden/>
    <w:rsid w:val="00E449ED"/>
  </w:style>
  <w:style w:type="paragraph" w:styleId="DocumentMap">
    <w:name w:val="Document Map"/>
    <w:basedOn w:val="Normal"/>
    <w:link w:val="DocumentMapChar"/>
    <w:uiPriority w:val="99"/>
    <w:semiHidden/>
    <w:unhideWhenUsed/>
    <w:rsid w:val="00E449E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49ED"/>
    <w:rPr>
      <w:rFonts w:ascii="Segoe UI" w:hAnsi="Segoe UI" w:cs="Segoe UI"/>
      <w:sz w:val="16"/>
      <w:szCs w:val="16"/>
    </w:rPr>
  </w:style>
  <w:style w:type="paragraph" w:styleId="E-mailSignature">
    <w:name w:val="E-mail Signature"/>
    <w:basedOn w:val="Normal"/>
    <w:link w:val="E-mailSignatureChar"/>
    <w:uiPriority w:val="99"/>
    <w:semiHidden/>
    <w:unhideWhenUsed/>
    <w:rsid w:val="00E449ED"/>
  </w:style>
  <w:style w:type="character" w:customStyle="1" w:styleId="E-mailSignatureChar">
    <w:name w:val="E-mail Signature Char"/>
    <w:basedOn w:val="DefaultParagraphFont"/>
    <w:link w:val="E-mailSignature"/>
    <w:uiPriority w:val="99"/>
    <w:semiHidden/>
    <w:rsid w:val="00E449ED"/>
  </w:style>
  <w:style w:type="paragraph" w:styleId="EnvelopeAddress">
    <w:name w:val="envelope address"/>
    <w:basedOn w:val="Normal"/>
    <w:uiPriority w:val="99"/>
    <w:semiHidden/>
    <w:unhideWhenUsed/>
    <w:rsid w:val="00E449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49ED"/>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E449ED"/>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E449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49E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449ED"/>
    <w:rPr>
      <w:i/>
      <w:iCs/>
    </w:rPr>
  </w:style>
  <w:style w:type="character" w:customStyle="1" w:styleId="HTMLAddressChar">
    <w:name w:val="HTML Address Char"/>
    <w:basedOn w:val="DefaultParagraphFont"/>
    <w:link w:val="HTMLAddress"/>
    <w:uiPriority w:val="99"/>
    <w:semiHidden/>
    <w:rsid w:val="00E449ED"/>
    <w:rPr>
      <w:i/>
      <w:iCs/>
    </w:rPr>
  </w:style>
  <w:style w:type="paragraph" w:styleId="HTMLPreformatted">
    <w:name w:val="HTML Preformatted"/>
    <w:basedOn w:val="Normal"/>
    <w:link w:val="HTMLPreformattedChar"/>
    <w:uiPriority w:val="99"/>
    <w:semiHidden/>
    <w:unhideWhenUsed/>
    <w:rsid w:val="00E449E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49ED"/>
    <w:rPr>
      <w:rFonts w:ascii="Consolas" w:hAnsi="Consolas"/>
      <w:sz w:val="20"/>
      <w:szCs w:val="20"/>
    </w:rPr>
  </w:style>
  <w:style w:type="paragraph" w:styleId="Index1">
    <w:name w:val="index 1"/>
    <w:basedOn w:val="Normal"/>
    <w:next w:val="Normal"/>
    <w:autoRedefine/>
    <w:uiPriority w:val="99"/>
    <w:semiHidden/>
    <w:unhideWhenUsed/>
    <w:rsid w:val="00E449ED"/>
    <w:pPr>
      <w:ind w:left="220" w:hanging="220"/>
    </w:pPr>
  </w:style>
  <w:style w:type="paragraph" w:styleId="Index2">
    <w:name w:val="index 2"/>
    <w:basedOn w:val="Normal"/>
    <w:next w:val="Normal"/>
    <w:autoRedefine/>
    <w:uiPriority w:val="99"/>
    <w:semiHidden/>
    <w:unhideWhenUsed/>
    <w:rsid w:val="00E449ED"/>
    <w:pPr>
      <w:ind w:left="440" w:hanging="220"/>
    </w:pPr>
  </w:style>
  <w:style w:type="paragraph" w:styleId="Index3">
    <w:name w:val="index 3"/>
    <w:basedOn w:val="Normal"/>
    <w:next w:val="Normal"/>
    <w:autoRedefine/>
    <w:uiPriority w:val="99"/>
    <w:semiHidden/>
    <w:unhideWhenUsed/>
    <w:rsid w:val="00E449ED"/>
    <w:pPr>
      <w:ind w:left="660" w:hanging="220"/>
    </w:pPr>
  </w:style>
  <w:style w:type="paragraph" w:styleId="Index4">
    <w:name w:val="index 4"/>
    <w:basedOn w:val="Normal"/>
    <w:next w:val="Normal"/>
    <w:autoRedefine/>
    <w:uiPriority w:val="99"/>
    <w:semiHidden/>
    <w:unhideWhenUsed/>
    <w:rsid w:val="00E449ED"/>
    <w:pPr>
      <w:ind w:left="880" w:hanging="220"/>
    </w:pPr>
  </w:style>
  <w:style w:type="paragraph" w:styleId="Index5">
    <w:name w:val="index 5"/>
    <w:basedOn w:val="Normal"/>
    <w:next w:val="Normal"/>
    <w:autoRedefine/>
    <w:uiPriority w:val="99"/>
    <w:semiHidden/>
    <w:unhideWhenUsed/>
    <w:rsid w:val="00E449ED"/>
    <w:pPr>
      <w:ind w:left="1100" w:hanging="220"/>
    </w:pPr>
  </w:style>
  <w:style w:type="paragraph" w:styleId="Index6">
    <w:name w:val="index 6"/>
    <w:basedOn w:val="Normal"/>
    <w:next w:val="Normal"/>
    <w:autoRedefine/>
    <w:uiPriority w:val="99"/>
    <w:semiHidden/>
    <w:unhideWhenUsed/>
    <w:rsid w:val="00E449ED"/>
    <w:pPr>
      <w:ind w:left="1320" w:hanging="220"/>
    </w:pPr>
  </w:style>
  <w:style w:type="paragraph" w:styleId="Index7">
    <w:name w:val="index 7"/>
    <w:basedOn w:val="Normal"/>
    <w:next w:val="Normal"/>
    <w:autoRedefine/>
    <w:uiPriority w:val="99"/>
    <w:semiHidden/>
    <w:unhideWhenUsed/>
    <w:rsid w:val="00E449ED"/>
    <w:pPr>
      <w:ind w:left="1540" w:hanging="220"/>
    </w:pPr>
  </w:style>
  <w:style w:type="paragraph" w:styleId="Index8">
    <w:name w:val="index 8"/>
    <w:basedOn w:val="Normal"/>
    <w:next w:val="Normal"/>
    <w:autoRedefine/>
    <w:uiPriority w:val="99"/>
    <w:semiHidden/>
    <w:unhideWhenUsed/>
    <w:rsid w:val="00E449ED"/>
    <w:pPr>
      <w:ind w:left="1760" w:hanging="220"/>
    </w:pPr>
  </w:style>
  <w:style w:type="paragraph" w:styleId="Index9">
    <w:name w:val="index 9"/>
    <w:basedOn w:val="Normal"/>
    <w:next w:val="Normal"/>
    <w:autoRedefine/>
    <w:uiPriority w:val="99"/>
    <w:semiHidden/>
    <w:unhideWhenUsed/>
    <w:rsid w:val="00E449ED"/>
    <w:pPr>
      <w:ind w:left="1980" w:hanging="220"/>
    </w:pPr>
  </w:style>
  <w:style w:type="paragraph" w:styleId="IndexHeading">
    <w:name w:val="index heading"/>
    <w:basedOn w:val="Normal"/>
    <w:next w:val="Index1"/>
    <w:uiPriority w:val="99"/>
    <w:semiHidden/>
    <w:unhideWhenUsed/>
    <w:rsid w:val="00E449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49E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E449ED"/>
    <w:rPr>
      <w:i/>
      <w:iCs/>
      <w:color w:val="156082" w:themeColor="accent1"/>
    </w:rPr>
  </w:style>
  <w:style w:type="paragraph" w:styleId="List">
    <w:name w:val="List"/>
    <w:basedOn w:val="Normal"/>
    <w:uiPriority w:val="99"/>
    <w:semiHidden/>
    <w:unhideWhenUsed/>
    <w:rsid w:val="00E449ED"/>
    <w:pPr>
      <w:ind w:left="360" w:hanging="360"/>
      <w:contextualSpacing/>
    </w:pPr>
  </w:style>
  <w:style w:type="paragraph" w:styleId="List2">
    <w:name w:val="List 2"/>
    <w:basedOn w:val="Normal"/>
    <w:uiPriority w:val="99"/>
    <w:semiHidden/>
    <w:unhideWhenUsed/>
    <w:rsid w:val="00E449ED"/>
    <w:pPr>
      <w:ind w:left="720" w:hanging="360"/>
      <w:contextualSpacing/>
    </w:pPr>
  </w:style>
  <w:style w:type="paragraph" w:styleId="List3">
    <w:name w:val="List 3"/>
    <w:basedOn w:val="Normal"/>
    <w:uiPriority w:val="99"/>
    <w:semiHidden/>
    <w:unhideWhenUsed/>
    <w:rsid w:val="00E449ED"/>
    <w:pPr>
      <w:ind w:left="1080" w:hanging="360"/>
      <w:contextualSpacing/>
    </w:pPr>
  </w:style>
  <w:style w:type="paragraph" w:styleId="List4">
    <w:name w:val="List 4"/>
    <w:basedOn w:val="Normal"/>
    <w:uiPriority w:val="99"/>
    <w:semiHidden/>
    <w:unhideWhenUsed/>
    <w:rsid w:val="00E449ED"/>
    <w:pPr>
      <w:ind w:left="1440" w:hanging="360"/>
      <w:contextualSpacing/>
    </w:pPr>
  </w:style>
  <w:style w:type="paragraph" w:styleId="List5">
    <w:name w:val="List 5"/>
    <w:basedOn w:val="Normal"/>
    <w:uiPriority w:val="99"/>
    <w:semiHidden/>
    <w:unhideWhenUsed/>
    <w:rsid w:val="00E449ED"/>
    <w:pPr>
      <w:ind w:left="1800" w:hanging="360"/>
      <w:contextualSpacing/>
    </w:pPr>
  </w:style>
  <w:style w:type="paragraph" w:styleId="ListBullet">
    <w:name w:val="List Bullet"/>
    <w:basedOn w:val="Normal"/>
    <w:uiPriority w:val="99"/>
    <w:semiHidden/>
    <w:unhideWhenUsed/>
    <w:rsid w:val="00E449ED"/>
    <w:pPr>
      <w:numPr>
        <w:numId w:val="2"/>
      </w:numPr>
      <w:contextualSpacing/>
    </w:pPr>
  </w:style>
  <w:style w:type="paragraph" w:styleId="ListBullet2">
    <w:name w:val="List Bullet 2"/>
    <w:basedOn w:val="Normal"/>
    <w:uiPriority w:val="99"/>
    <w:semiHidden/>
    <w:unhideWhenUsed/>
    <w:rsid w:val="00E449ED"/>
    <w:pPr>
      <w:numPr>
        <w:numId w:val="3"/>
      </w:numPr>
      <w:contextualSpacing/>
    </w:pPr>
  </w:style>
  <w:style w:type="paragraph" w:styleId="ListBullet3">
    <w:name w:val="List Bullet 3"/>
    <w:basedOn w:val="Normal"/>
    <w:uiPriority w:val="99"/>
    <w:semiHidden/>
    <w:unhideWhenUsed/>
    <w:rsid w:val="00E449ED"/>
    <w:pPr>
      <w:numPr>
        <w:numId w:val="4"/>
      </w:numPr>
      <w:contextualSpacing/>
    </w:pPr>
  </w:style>
  <w:style w:type="paragraph" w:styleId="ListBullet4">
    <w:name w:val="List Bullet 4"/>
    <w:basedOn w:val="Normal"/>
    <w:uiPriority w:val="99"/>
    <w:semiHidden/>
    <w:unhideWhenUsed/>
    <w:rsid w:val="00E449ED"/>
    <w:pPr>
      <w:numPr>
        <w:numId w:val="5"/>
      </w:numPr>
      <w:contextualSpacing/>
    </w:pPr>
  </w:style>
  <w:style w:type="paragraph" w:styleId="ListBullet5">
    <w:name w:val="List Bullet 5"/>
    <w:basedOn w:val="Normal"/>
    <w:uiPriority w:val="99"/>
    <w:semiHidden/>
    <w:unhideWhenUsed/>
    <w:rsid w:val="00E449ED"/>
    <w:pPr>
      <w:numPr>
        <w:numId w:val="6"/>
      </w:numPr>
      <w:contextualSpacing/>
    </w:pPr>
  </w:style>
  <w:style w:type="paragraph" w:styleId="ListContinue">
    <w:name w:val="List Continue"/>
    <w:basedOn w:val="Normal"/>
    <w:uiPriority w:val="99"/>
    <w:semiHidden/>
    <w:unhideWhenUsed/>
    <w:rsid w:val="00E449ED"/>
    <w:pPr>
      <w:spacing w:after="120"/>
      <w:ind w:left="360"/>
      <w:contextualSpacing/>
    </w:pPr>
  </w:style>
  <w:style w:type="paragraph" w:styleId="ListContinue2">
    <w:name w:val="List Continue 2"/>
    <w:basedOn w:val="Normal"/>
    <w:uiPriority w:val="99"/>
    <w:semiHidden/>
    <w:unhideWhenUsed/>
    <w:rsid w:val="00E449ED"/>
    <w:pPr>
      <w:spacing w:after="120"/>
      <w:ind w:left="720"/>
      <w:contextualSpacing/>
    </w:pPr>
  </w:style>
  <w:style w:type="paragraph" w:styleId="ListContinue3">
    <w:name w:val="List Continue 3"/>
    <w:basedOn w:val="Normal"/>
    <w:uiPriority w:val="99"/>
    <w:semiHidden/>
    <w:unhideWhenUsed/>
    <w:rsid w:val="00E449ED"/>
    <w:pPr>
      <w:spacing w:after="120"/>
      <w:ind w:left="1080"/>
      <w:contextualSpacing/>
    </w:pPr>
  </w:style>
  <w:style w:type="paragraph" w:styleId="ListContinue4">
    <w:name w:val="List Continue 4"/>
    <w:basedOn w:val="Normal"/>
    <w:uiPriority w:val="99"/>
    <w:semiHidden/>
    <w:unhideWhenUsed/>
    <w:rsid w:val="00E449ED"/>
    <w:pPr>
      <w:spacing w:after="120"/>
      <w:ind w:left="1440"/>
      <w:contextualSpacing/>
    </w:pPr>
  </w:style>
  <w:style w:type="paragraph" w:styleId="ListContinue5">
    <w:name w:val="List Continue 5"/>
    <w:basedOn w:val="Normal"/>
    <w:uiPriority w:val="99"/>
    <w:semiHidden/>
    <w:unhideWhenUsed/>
    <w:rsid w:val="00E449ED"/>
    <w:pPr>
      <w:spacing w:after="120"/>
      <w:ind w:left="1800"/>
      <w:contextualSpacing/>
    </w:pPr>
  </w:style>
  <w:style w:type="paragraph" w:styleId="ListNumber">
    <w:name w:val="List Number"/>
    <w:basedOn w:val="Normal"/>
    <w:uiPriority w:val="99"/>
    <w:semiHidden/>
    <w:unhideWhenUsed/>
    <w:rsid w:val="00E449ED"/>
    <w:pPr>
      <w:numPr>
        <w:numId w:val="7"/>
      </w:numPr>
      <w:contextualSpacing/>
    </w:pPr>
  </w:style>
  <w:style w:type="paragraph" w:styleId="ListNumber2">
    <w:name w:val="List Number 2"/>
    <w:basedOn w:val="Normal"/>
    <w:uiPriority w:val="99"/>
    <w:semiHidden/>
    <w:unhideWhenUsed/>
    <w:rsid w:val="00E449ED"/>
    <w:pPr>
      <w:numPr>
        <w:numId w:val="8"/>
      </w:numPr>
      <w:contextualSpacing/>
    </w:pPr>
  </w:style>
  <w:style w:type="paragraph" w:styleId="ListNumber3">
    <w:name w:val="List Number 3"/>
    <w:basedOn w:val="Normal"/>
    <w:uiPriority w:val="99"/>
    <w:semiHidden/>
    <w:unhideWhenUsed/>
    <w:rsid w:val="00E449ED"/>
    <w:pPr>
      <w:numPr>
        <w:numId w:val="9"/>
      </w:numPr>
      <w:contextualSpacing/>
    </w:pPr>
  </w:style>
  <w:style w:type="paragraph" w:styleId="ListNumber4">
    <w:name w:val="List Number 4"/>
    <w:basedOn w:val="Normal"/>
    <w:uiPriority w:val="99"/>
    <w:semiHidden/>
    <w:unhideWhenUsed/>
    <w:rsid w:val="00E449ED"/>
    <w:pPr>
      <w:numPr>
        <w:numId w:val="10"/>
      </w:numPr>
      <w:contextualSpacing/>
    </w:pPr>
  </w:style>
  <w:style w:type="paragraph" w:styleId="ListNumber5">
    <w:name w:val="List Number 5"/>
    <w:basedOn w:val="Normal"/>
    <w:uiPriority w:val="99"/>
    <w:semiHidden/>
    <w:unhideWhenUsed/>
    <w:rsid w:val="00E449ED"/>
    <w:pPr>
      <w:numPr>
        <w:numId w:val="11"/>
      </w:numPr>
      <w:contextualSpacing/>
    </w:pPr>
  </w:style>
  <w:style w:type="paragraph" w:styleId="MacroText">
    <w:name w:val="macro"/>
    <w:link w:val="MacroTextChar"/>
    <w:uiPriority w:val="99"/>
    <w:semiHidden/>
    <w:unhideWhenUsed/>
    <w:rsid w:val="00E449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E449ED"/>
    <w:rPr>
      <w:rFonts w:ascii="Consolas" w:hAnsi="Consolas"/>
      <w:sz w:val="20"/>
      <w:szCs w:val="20"/>
    </w:rPr>
  </w:style>
  <w:style w:type="paragraph" w:styleId="MessageHeader">
    <w:name w:val="Message Header"/>
    <w:basedOn w:val="Normal"/>
    <w:link w:val="MessageHeaderChar"/>
    <w:uiPriority w:val="99"/>
    <w:semiHidden/>
    <w:unhideWhenUsed/>
    <w:rsid w:val="00E449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449ED"/>
    <w:rPr>
      <w:rFonts w:asciiTheme="majorHAnsi" w:eastAsiaTheme="majorEastAsia" w:hAnsiTheme="majorHAnsi" w:cstheme="majorBidi"/>
      <w:sz w:val="24"/>
      <w:szCs w:val="24"/>
      <w:shd w:val="pct20" w:color="auto" w:fill="auto"/>
    </w:rPr>
  </w:style>
  <w:style w:type="paragraph" w:styleId="NoSpacing">
    <w:name w:val="No Spacing"/>
    <w:uiPriority w:val="1"/>
    <w:qFormat/>
    <w:rsid w:val="00E449ED"/>
  </w:style>
  <w:style w:type="paragraph" w:styleId="NormalWeb">
    <w:name w:val="Normal (Web)"/>
    <w:basedOn w:val="Normal"/>
    <w:uiPriority w:val="99"/>
    <w:semiHidden/>
    <w:unhideWhenUsed/>
    <w:rsid w:val="00E449ED"/>
    <w:rPr>
      <w:rFonts w:ascii="Times New Roman" w:hAnsi="Times New Roman" w:cs="Times New Roman"/>
      <w:sz w:val="24"/>
      <w:szCs w:val="24"/>
    </w:rPr>
  </w:style>
  <w:style w:type="paragraph" w:styleId="NormalIndent">
    <w:name w:val="Normal Indent"/>
    <w:basedOn w:val="Normal"/>
    <w:uiPriority w:val="99"/>
    <w:semiHidden/>
    <w:unhideWhenUsed/>
    <w:rsid w:val="00E449ED"/>
    <w:pPr>
      <w:ind w:left="720"/>
    </w:pPr>
  </w:style>
  <w:style w:type="paragraph" w:styleId="NoteHeading">
    <w:name w:val="Note Heading"/>
    <w:basedOn w:val="Normal"/>
    <w:next w:val="Normal"/>
    <w:link w:val="NoteHeadingChar"/>
    <w:uiPriority w:val="99"/>
    <w:semiHidden/>
    <w:unhideWhenUsed/>
    <w:rsid w:val="00E449ED"/>
  </w:style>
  <w:style w:type="character" w:customStyle="1" w:styleId="NoteHeadingChar">
    <w:name w:val="Note Heading Char"/>
    <w:basedOn w:val="DefaultParagraphFont"/>
    <w:link w:val="NoteHeading"/>
    <w:uiPriority w:val="99"/>
    <w:semiHidden/>
    <w:rsid w:val="00E449ED"/>
  </w:style>
  <w:style w:type="paragraph" w:styleId="PlainText">
    <w:name w:val="Plain Text"/>
    <w:basedOn w:val="Normal"/>
    <w:link w:val="PlainTextChar"/>
    <w:uiPriority w:val="99"/>
    <w:semiHidden/>
    <w:unhideWhenUsed/>
    <w:rsid w:val="00E449ED"/>
    <w:rPr>
      <w:rFonts w:ascii="Consolas" w:hAnsi="Consolas"/>
      <w:sz w:val="21"/>
      <w:szCs w:val="21"/>
    </w:rPr>
  </w:style>
  <w:style w:type="character" w:customStyle="1" w:styleId="PlainTextChar">
    <w:name w:val="Plain Text Char"/>
    <w:basedOn w:val="DefaultParagraphFont"/>
    <w:link w:val="PlainText"/>
    <w:uiPriority w:val="99"/>
    <w:semiHidden/>
    <w:rsid w:val="00E449ED"/>
    <w:rPr>
      <w:rFonts w:ascii="Consolas" w:hAnsi="Consolas"/>
      <w:sz w:val="21"/>
      <w:szCs w:val="21"/>
    </w:rPr>
  </w:style>
  <w:style w:type="paragraph" w:styleId="Quote">
    <w:name w:val="Quote"/>
    <w:basedOn w:val="Normal"/>
    <w:next w:val="Normal"/>
    <w:link w:val="QuoteChar"/>
    <w:uiPriority w:val="29"/>
    <w:qFormat/>
    <w:rsid w:val="00E449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49ED"/>
    <w:rPr>
      <w:i/>
      <w:iCs/>
      <w:color w:val="404040" w:themeColor="text1" w:themeTint="BF"/>
    </w:rPr>
  </w:style>
  <w:style w:type="paragraph" w:styleId="Salutation">
    <w:name w:val="Salutation"/>
    <w:basedOn w:val="Normal"/>
    <w:next w:val="Normal"/>
    <w:link w:val="SalutationChar"/>
    <w:uiPriority w:val="99"/>
    <w:semiHidden/>
    <w:unhideWhenUsed/>
    <w:rsid w:val="00E449ED"/>
  </w:style>
  <w:style w:type="character" w:customStyle="1" w:styleId="SalutationChar">
    <w:name w:val="Salutation Char"/>
    <w:basedOn w:val="DefaultParagraphFont"/>
    <w:link w:val="Salutation"/>
    <w:uiPriority w:val="99"/>
    <w:semiHidden/>
    <w:rsid w:val="00E449ED"/>
  </w:style>
  <w:style w:type="paragraph" w:styleId="Signature">
    <w:name w:val="Signature"/>
    <w:basedOn w:val="Normal"/>
    <w:link w:val="SignatureChar"/>
    <w:uiPriority w:val="99"/>
    <w:semiHidden/>
    <w:unhideWhenUsed/>
    <w:rsid w:val="00E449ED"/>
    <w:pPr>
      <w:ind w:left="4320"/>
    </w:pPr>
  </w:style>
  <w:style w:type="character" w:customStyle="1" w:styleId="SignatureChar">
    <w:name w:val="Signature Char"/>
    <w:basedOn w:val="DefaultParagraphFont"/>
    <w:link w:val="Signature"/>
    <w:uiPriority w:val="99"/>
    <w:semiHidden/>
    <w:rsid w:val="00E449ED"/>
  </w:style>
  <w:style w:type="paragraph" w:styleId="Subtitle">
    <w:name w:val="Subtitle"/>
    <w:basedOn w:val="Normal"/>
    <w:next w:val="Normal"/>
    <w:link w:val="SubtitleChar"/>
    <w:uiPriority w:val="11"/>
    <w:qFormat/>
    <w:rsid w:val="00E449E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449ED"/>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449ED"/>
    <w:pPr>
      <w:ind w:left="220" w:hanging="220"/>
    </w:pPr>
  </w:style>
  <w:style w:type="paragraph" w:styleId="TableofFigures">
    <w:name w:val="table of figures"/>
    <w:basedOn w:val="Normal"/>
    <w:next w:val="Normal"/>
    <w:uiPriority w:val="99"/>
    <w:semiHidden/>
    <w:unhideWhenUsed/>
    <w:rsid w:val="00E449ED"/>
  </w:style>
  <w:style w:type="paragraph" w:styleId="TOAHeading">
    <w:name w:val="toa heading"/>
    <w:basedOn w:val="Normal"/>
    <w:next w:val="Normal"/>
    <w:uiPriority w:val="99"/>
    <w:semiHidden/>
    <w:unhideWhenUsed/>
    <w:rsid w:val="00E449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449ED"/>
    <w:pPr>
      <w:spacing w:after="100"/>
    </w:pPr>
  </w:style>
  <w:style w:type="paragraph" w:styleId="TOC2">
    <w:name w:val="toc 2"/>
    <w:basedOn w:val="Normal"/>
    <w:next w:val="Normal"/>
    <w:autoRedefine/>
    <w:uiPriority w:val="39"/>
    <w:semiHidden/>
    <w:unhideWhenUsed/>
    <w:rsid w:val="00E449ED"/>
    <w:pPr>
      <w:spacing w:after="100"/>
      <w:ind w:left="220"/>
    </w:pPr>
  </w:style>
  <w:style w:type="paragraph" w:styleId="TOC3">
    <w:name w:val="toc 3"/>
    <w:basedOn w:val="Normal"/>
    <w:next w:val="Normal"/>
    <w:autoRedefine/>
    <w:uiPriority w:val="39"/>
    <w:semiHidden/>
    <w:unhideWhenUsed/>
    <w:rsid w:val="00E449ED"/>
    <w:pPr>
      <w:spacing w:after="100"/>
      <w:ind w:left="440"/>
    </w:pPr>
  </w:style>
  <w:style w:type="paragraph" w:styleId="TOC4">
    <w:name w:val="toc 4"/>
    <w:basedOn w:val="Normal"/>
    <w:next w:val="Normal"/>
    <w:autoRedefine/>
    <w:uiPriority w:val="39"/>
    <w:semiHidden/>
    <w:unhideWhenUsed/>
    <w:rsid w:val="00E449ED"/>
    <w:pPr>
      <w:spacing w:after="100"/>
      <w:ind w:left="660"/>
    </w:pPr>
  </w:style>
  <w:style w:type="paragraph" w:styleId="TOC5">
    <w:name w:val="toc 5"/>
    <w:basedOn w:val="Normal"/>
    <w:next w:val="Normal"/>
    <w:autoRedefine/>
    <w:uiPriority w:val="39"/>
    <w:semiHidden/>
    <w:unhideWhenUsed/>
    <w:rsid w:val="00E449ED"/>
    <w:pPr>
      <w:spacing w:after="100"/>
      <w:ind w:left="880"/>
    </w:pPr>
  </w:style>
  <w:style w:type="paragraph" w:styleId="TOC6">
    <w:name w:val="toc 6"/>
    <w:basedOn w:val="Normal"/>
    <w:next w:val="Normal"/>
    <w:autoRedefine/>
    <w:uiPriority w:val="39"/>
    <w:semiHidden/>
    <w:unhideWhenUsed/>
    <w:rsid w:val="00E449ED"/>
    <w:pPr>
      <w:spacing w:after="100"/>
      <w:ind w:left="1100"/>
    </w:pPr>
  </w:style>
  <w:style w:type="paragraph" w:styleId="TOC7">
    <w:name w:val="toc 7"/>
    <w:basedOn w:val="Normal"/>
    <w:next w:val="Normal"/>
    <w:autoRedefine/>
    <w:uiPriority w:val="39"/>
    <w:semiHidden/>
    <w:unhideWhenUsed/>
    <w:rsid w:val="00E449ED"/>
    <w:pPr>
      <w:spacing w:after="100"/>
      <w:ind w:left="1320"/>
    </w:pPr>
  </w:style>
  <w:style w:type="paragraph" w:styleId="TOC8">
    <w:name w:val="toc 8"/>
    <w:basedOn w:val="Normal"/>
    <w:next w:val="Normal"/>
    <w:autoRedefine/>
    <w:uiPriority w:val="39"/>
    <w:semiHidden/>
    <w:unhideWhenUsed/>
    <w:rsid w:val="00E449ED"/>
    <w:pPr>
      <w:spacing w:after="100"/>
      <w:ind w:left="1540"/>
    </w:pPr>
  </w:style>
  <w:style w:type="paragraph" w:styleId="TOC9">
    <w:name w:val="toc 9"/>
    <w:basedOn w:val="Normal"/>
    <w:next w:val="Normal"/>
    <w:autoRedefine/>
    <w:uiPriority w:val="39"/>
    <w:semiHidden/>
    <w:unhideWhenUsed/>
    <w:rsid w:val="00E449ED"/>
    <w:pPr>
      <w:spacing w:after="100"/>
      <w:ind w:left="1760"/>
    </w:pPr>
  </w:style>
  <w:style w:type="paragraph" w:styleId="TOCHeading">
    <w:name w:val="TOC Heading"/>
    <w:basedOn w:val="Heading1"/>
    <w:next w:val="Normal"/>
    <w:uiPriority w:val="39"/>
    <w:semiHidden/>
    <w:unhideWhenUsed/>
    <w:qFormat/>
    <w:rsid w:val="00E449ED"/>
    <w:pPr>
      <w:keepNext/>
      <w:keepLines/>
      <w:spacing w:before="240" w:after="0"/>
      <w:outlineLvl w:val="9"/>
    </w:pPr>
    <w:rPr>
      <w:rFonts w:asciiTheme="majorHAnsi" w:eastAsiaTheme="majorEastAsia" w:hAnsiTheme="majorHAnsi" w:cstheme="majorBidi"/>
      <w:b w:val="0"/>
      <w:bCs w:val="0"/>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jcraddoc\Downloads\jimcraddock.com" TargetMode="External"/><Relationship Id="rId13" Type="http://schemas.openxmlformats.org/officeDocument/2006/relationships/hyperlink" Target="https://doi.org/10.5281/zenodo.19600443" TargetMode="External"/><Relationship Id="rId18" Type="http://schemas.openxmlformats.org/officeDocument/2006/relationships/hyperlink" Target="https://doi.org/10.5281/zenodo.19423069" TargetMode="External"/><Relationship Id="rId3" Type="http://schemas.openxmlformats.org/officeDocument/2006/relationships/settings" Target="settings.xml"/><Relationship Id="rId21" Type="http://schemas.openxmlformats.org/officeDocument/2006/relationships/hyperlink" Target="https://doi.org/10.5281/zenodo.19560800" TargetMode="External"/><Relationship Id="rId7" Type="http://schemas.openxmlformats.org/officeDocument/2006/relationships/hyperlink" Target="file:///C:\Users\jcraddoc\Downloads\redactedscience.org" TargetMode="External"/><Relationship Id="rId12" Type="http://schemas.openxmlformats.org/officeDocument/2006/relationships/hyperlink" Target="https://doi.org/10.5281/zenodo.19582791" TargetMode="External"/><Relationship Id="rId17" Type="http://schemas.openxmlformats.org/officeDocument/2006/relationships/hyperlink" Target="https://doi.org/10.5281/zenodo.19488040" TargetMode="External"/><Relationship Id="rId2" Type="http://schemas.openxmlformats.org/officeDocument/2006/relationships/styles" Target="styles.xml"/><Relationship Id="rId16" Type="http://schemas.openxmlformats.org/officeDocument/2006/relationships/hyperlink" Target="https://doi.org/10.5281/zenodo.19600888" TargetMode="External"/><Relationship Id="rId20" Type="http://schemas.openxmlformats.org/officeDocument/2006/relationships/hyperlink" Target="https://doi.org/10.5281/zenodo.19462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958248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281/zenodo.19598460" TargetMode="External"/><Relationship Id="rId23" Type="http://schemas.openxmlformats.org/officeDocument/2006/relationships/fontTable" Target="fontTable.xml"/><Relationship Id="rId10" Type="http://schemas.openxmlformats.org/officeDocument/2006/relationships/hyperlink" Target="https://doi.org/10.5281/zenodo.19369715" TargetMode="External"/><Relationship Id="rId19" Type="http://schemas.openxmlformats.org/officeDocument/2006/relationships/hyperlink" Target="https://doi.org/10.5281/zenodo.19393803" TargetMode="External"/><Relationship Id="rId4" Type="http://schemas.openxmlformats.org/officeDocument/2006/relationships/webSettings" Target="webSettings.xml"/><Relationship Id="rId9" Type="http://schemas.openxmlformats.org/officeDocument/2006/relationships/hyperlink" Target="https://doi.org/10.5281/zenodo.19337525" TargetMode="External"/><Relationship Id="rId14" Type="http://schemas.openxmlformats.org/officeDocument/2006/relationships/hyperlink" Target="https://doi.org/10.5281/zenodo.1958342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jcraddoc\Downloads\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9196</Words>
  <Characters>55399</Characters>
  <Application>Microsoft Office Word</Application>
  <DocSecurity>0</DocSecurity>
  <Lines>763</Lines>
  <Paragraphs>190</Paragraphs>
  <ScaleCrop>false</ScaleCrop>
  <Company/>
  <LinksUpToDate>false</LinksUpToDate>
  <CharactersWithSpaces>64498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Redacted Science Research Initiative — Complete Works Compilation</dc:title>
  <dc:subject>Redacted Science</dc:subject>
  <dc:creator>Jim Craddock</dc:creator>
  <cp:keywords>Redacted Science</cp:keywords>
  <cp:lastModifiedBy>Craddock, Jim (HSC)</cp:lastModifiedBy>
  <cp:revision>2</cp:revision>
  <cp:lastPrinted>2026-04-16T22:06:00Z</cp:lastPrinted>
  <dcterms:created xsi:type="dcterms:W3CDTF">2026-04-16T22:07:00Z</dcterms:created>
  <dcterms:modified xsi:type="dcterms:W3CDTF">2026-04-16T22:07:00Z</dcterms:modified>
</cp:coreProperties>
</file>